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p>
    <w:p>
      <w:pPr>
        <w:spacing w:line="360"/>
      </w:pPr>
    </w:p>
    <w:p>
      <w:pPr>
        <w:spacing w:line="360"/>
      </w:pPr>
    </w:p>
    <w:p>
      <w:pPr>
        <w:spacing w:line="360" w:before="0" w:after="0"/>
        <w:jc w:val="center"/>
      </w:pPr>
      <w:r>
        <w:rPr>
          <w:rFonts w:ascii="Times New Roman" w:cs="Times New Roman" w:eastAsia="Times New Roman" w:hAnsi="Times New Roman"/>
          <w:b/>
          <w:bCs/>
          <w:sz w:val="24"/>
          <w:szCs w:val="24"/>
        </w:rPr>
        <w:t xml:space="preserve">MODELLING PREMIER LEAGUE SEASON OUTCOMES</w:t>
      </w:r>
    </w:p>
    <w:p>
      <w:pPr>
        <w:spacing w:line="360" w:before="0" w:after="0"/>
        <w:jc w:val="center"/>
      </w:pPr>
      <w:r>
        <w:rPr>
          <w:rFonts w:ascii="Times New Roman" w:cs="Times New Roman" w:eastAsia="Times New Roman" w:hAnsi="Times New Roman"/>
          <w:b/>
          <w:bCs/>
          <w:sz w:val="24"/>
          <w:szCs w:val="24"/>
        </w:rPr>
        <w:t xml:space="preserve">USING MONTE CARLO SIMULATION:</w:t>
      </w:r>
    </w:p>
    <w:p>
      <w:pPr>
        <w:spacing w:line="360" w:before="0" w:after="0"/>
        <w:jc w:val="center"/>
      </w:pPr>
      <w:r>
        <w:rPr>
          <w:rFonts w:ascii="Times New Roman" w:cs="Times New Roman" w:eastAsia="Times New Roman" w:hAnsi="Times New Roman"/>
          <w:b/>
          <w:bCs/>
          <w:sz w:val="24"/>
          <w:szCs w:val="24"/>
        </w:rPr>
        <w:t xml:space="preserve">A PLAYER-LEVEL APPROACH WITH PERFORMANCE WEIGHTS,</w:t>
      </w:r>
    </w:p>
    <w:p>
      <w:pPr>
        <w:spacing w:line="360" w:before="0" w:after="0"/>
        <w:jc w:val="center"/>
      </w:pPr>
      <w:r>
        <w:rPr>
          <w:rFonts w:ascii="Times New Roman" w:cs="Times New Roman" w:eastAsia="Times New Roman" w:hAnsi="Times New Roman"/>
          <w:b/>
          <w:bCs/>
          <w:sz w:val="24"/>
          <w:szCs w:val="24"/>
        </w:rPr>
        <w:t xml:space="preserve">AGE DECLINE, AND MATCH ADJUSTMENTS</w:t>
      </w:r>
    </w:p>
    <w:p>
      <w:pPr>
        <w:spacing w:line="360"/>
      </w:pPr>
    </w:p>
    <w:p>
      <w:pPr>
        <w:spacing w:line="360"/>
      </w:pPr>
    </w:p>
    <w:p>
      <w:pPr>
        <w:spacing w:line="360" w:before="0" w:after="0"/>
        <w:jc w:val="center"/>
      </w:pPr>
      <w:r>
        <w:rPr>
          <w:rFonts w:ascii="Times New Roman" w:cs="Times New Roman" w:eastAsia="Times New Roman" w:hAnsi="Times New Roman"/>
          <w:sz w:val="24"/>
          <w:szCs w:val="24"/>
        </w:rPr>
        <w:t xml:space="preserve">Technical Research Report</w:t>
      </w:r>
    </w:p>
    <w:p>
      <w:pPr>
        <w:spacing w:line="360"/>
      </w:pPr>
    </w:p>
    <w:p>
      <w:pPr>
        <w:spacing w:line="360"/>
      </w:pPr>
    </w:p>
    <w:p>
      <w:pPr>
        <w:spacing w:line="360" w:before="0" w:after="0"/>
        <w:jc w:val="center"/>
      </w:pPr>
      <w:r>
        <w:rPr>
          <w:rFonts w:ascii="Times New Roman" w:cs="Times New Roman" w:eastAsia="Times New Roman" w:hAnsi="Times New Roman"/>
          <w:sz w:val="24"/>
          <w:szCs w:val="24"/>
        </w:rPr>
        <w:t xml:space="preserve">Dataset: Premier League Career Statistics (Cut-off: September 2020)</w:t>
      </w:r>
    </w:p>
    <w:p>
      <w:pPr>
        <w:spacing w:line="360" w:before="0" w:after="0"/>
        <w:jc w:val="center"/>
      </w:pPr>
      <w:r>
        <w:rPr>
          <w:rFonts w:ascii="Times New Roman" w:cs="Times New Roman" w:eastAsia="Times New Roman" w:hAnsi="Times New Roman"/>
          <w:sz w:val="24"/>
          <w:szCs w:val="24"/>
        </w:rPr>
        <w:t xml:space="preserve">Simulation: N = 1,000 Seasons  |  Random Seed: 42</w:t>
      </w:r>
    </w:p>
    <w:p>
      <w:pPr>
        <w:spacing w:line="360"/>
      </w:pPr>
    </w:p>
    <w:p>
      <w:pPr>
        <w:spacing w:line="360"/>
      </w:pPr>
    </w:p>
    <w:p>
      <w:pPr>
        <w:spacing w:line="360"/>
      </w:pPr>
    </w:p>
    <w:p>
      <w:pPr>
        <w:spacing w:line="360"/>
      </w:pPr>
    </w:p>
    <w:p>
      <w:r>
        <w:br w:type="page"/>
      </w:r>
    </w:p>
    <w:p>
      <w:pPr>
        <w:spacing w:line="360" w:before="0" w:after="0"/>
        <w:jc w:val="center"/>
      </w:pPr>
      <w:r>
        <w:rPr>
          <w:rFonts w:ascii="Times New Roman" w:cs="Times New Roman" w:eastAsia="Times New Roman" w:hAnsi="Times New Roman"/>
          <w:b/>
          <w:bCs/>
          <w:sz w:val="24"/>
          <w:szCs w:val="24"/>
        </w:rPr>
        <w:t xml:space="preserve">Abstract</w:t>
      </w:r>
    </w:p>
    <w:p>
      <w:pPr>
        <w:spacing w:line="360"/>
      </w:pPr>
    </w:p>
    <w:p>
      <w:pPr>
        <w:spacing w:line="360" w:before="0" w:after="0"/>
        <w:jc w:val="both"/>
      </w:pPr>
      <w:r>
        <w:rPr>
          <w:rFonts w:ascii="Times New Roman" w:cs="Times New Roman" w:eastAsia="Times New Roman" w:hAnsi="Times New Roman"/>
          <w:sz w:val="24"/>
          <w:szCs w:val="24"/>
        </w:rPr>
        <w:t xml:space="preserve">This report describes a simulation model that calculates the probability of different outcomes in an English Premier League season. The model is based on the Poisson distribution method introduced by Maher (1982) and later improved by Dixon and Coles (1997). Instead of using team-level data, the model builds attack and defence scores from individual player career statistics. Each player's contribution is calculated per appearance, adjusted by position, and reduced for players over 30 years old based on the research by Dendir (2016). The match simulation uses four types of adjustments: home advantage, recent result streaks, rivalry effects for derby and Top-6 matches, and random starting line-up selection. The model ran 1,000 complete seasons using a September 2020 data snapshot and produced probability estimates for the title, Champions League qualification, and relegation. When compared to the actual 2020-21 season, the model gave a root-mean-square error of 11.83 points and a mean absolute error of 10.14 points. Brier Skill Scores of 0.66 (title), 0.37 (Top-4), and 0.37 (relegation) show that the model performed considerably better than a baseline model that gives every team an equal chance. The report also discusses the main limitations of the dataset and the absence of in-season updates.</w:t>
      </w:r>
    </w:p>
    <w:p>
      <w:pPr>
        <w:spacing w:line="360"/>
      </w:pPr>
    </w:p>
    <w:p>
      <w:pPr>
        <w:spacing w:line="360" w:before="0" w:after="0"/>
        <w:jc w:val="left"/>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Monte Carlo simulation, Poisson distribution, sports analytics, probabilistic forecasting, Brier Score</w:t>
      </w:r>
    </w:p>
    <w:p>
      <w:pPr>
        <w:spacing w:line="360"/>
      </w:pPr>
    </w:p>
    <w:p>
      <w:r>
        <w:br w:type="page"/>
      </w:r>
    </w:p>
    <w:p>
      <w:pPr>
        <w:spacing w:line="360" w:before="0" w:after="0"/>
        <w:jc w:val="center"/>
      </w:pPr>
      <w:r>
        <w:rPr>
          <w:rFonts w:ascii="Times New Roman" w:cs="Times New Roman" w:eastAsia="Times New Roman" w:hAnsi="Times New Roman"/>
          <w:b/>
          <w:bCs/>
          <w:sz w:val="24"/>
          <w:szCs w:val="24"/>
        </w:rPr>
        <w:t xml:space="preserve">Table of Contents</w:t>
      </w:r>
    </w:p>
    <w:p>
      <w:pPr>
        <w:spacing w:line="360"/>
      </w:pPr>
    </w:p>
    <w:p>
      <w:pPr>
        <w:tabs>
          <w:tab w:val="right" w:pos="8220"/>
        </w:tabs>
        <w:spacing w:line="360"/>
        <w:jc w:val="left"/>
      </w:pPr>
      <w:r>
        <w:rPr>
          <w:rFonts w:ascii="Times New Roman" w:cs="Times New Roman" w:eastAsia="Times New Roman" w:hAnsi="Times New Roman"/>
          <w:sz w:val="24"/>
          <w:szCs w:val="24"/>
        </w:rPr>
        <w:t xml:space="preserve">Introduction</w:t>
      </w:r>
      <w:r>
        <w:rPr>
          <w:rFonts w:ascii="Times New Roman" w:cs="Times New Roman" w:eastAsia="Times New Roman" w:hAnsi="Times New Roman"/>
          <w:sz w:val="24"/>
          <w:szCs w:val="24"/>
        </w:rPr>
        <w:t xml:space="preserve">	1</w:t>
      </w:r>
    </w:p>
    <w:p>
      <w:pPr>
        <w:tabs>
          <w:tab w:val="right" w:pos="8220"/>
        </w:tabs>
        <w:spacing w:line="360"/>
        <w:jc w:val="left"/>
      </w:pPr>
      <w:r>
        <w:rPr>
          <w:rFonts w:ascii="Times New Roman" w:cs="Times New Roman" w:eastAsia="Times New Roman" w:hAnsi="Times New Roman"/>
          <w:sz w:val="24"/>
          <w:szCs w:val="24"/>
        </w:rPr>
        <w:t xml:space="preserve">Literature Review</w:t>
      </w:r>
      <w:r>
        <w:rPr>
          <w:rFonts w:ascii="Times New Roman" w:cs="Times New Roman" w:eastAsia="Times New Roman" w:hAnsi="Times New Roman"/>
          <w:sz w:val="24"/>
          <w:szCs w:val="24"/>
        </w:rPr>
        <w:t xml:space="preserve">	3</w:t>
      </w:r>
    </w:p>
    <w:p>
      <w:pPr>
        <w:tabs>
          <w:tab w:val="right" w:pos="8220"/>
        </w:tabs>
        <w:spacing w:line="360"/>
        <w:jc w:val="left"/>
      </w:pPr>
      <w:r>
        <w:rPr>
          <w:rFonts w:ascii="Times New Roman" w:cs="Times New Roman" w:eastAsia="Times New Roman" w:hAnsi="Times New Roman"/>
          <w:sz w:val="24"/>
          <w:szCs w:val="24"/>
        </w:rPr>
        <w:t xml:space="preserve">   Poisson Models for Football Outcomes</w:t>
      </w:r>
      <w:r>
        <w:rPr>
          <w:rFonts w:ascii="Times New Roman" w:cs="Times New Roman" w:eastAsia="Times New Roman" w:hAnsi="Times New Roman"/>
          <w:sz w:val="24"/>
          <w:szCs w:val="24"/>
        </w:rPr>
        <w:t xml:space="preserve">	3</w:t>
      </w:r>
    </w:p>
    <w:p>
      <w:pPr>
        <w:tabs>
          <w:tab w:val="right" w:pos="8220"/>
        </w:tabs>
        <w:spacing w:line="360"/>
        <w:jc w:val="left"/>
      </w:pPr>
      <w:r>
        <w:rPr>
          <w:rFonts w:ascii="Times New Roman" w:cs="Times New Roman" w:eastAsia="Times New Roman" w:hAnsi="Times New Roman"/>
          <w:sz w:val="24"/>
          <w:szCs w:val="24"/>
        </w:rPr>
        <w:t xml:space="preserve">   Player-Level Quality Metrics</w:t>
      </w:r>
      <w:r>
        <w:rPr>
          <w:rFonts w:ascii="Times New Roman" w:cs="Times New Roman" w:eastAsia="Times New Roman" w:hAnsi="Times New Roman"/>
          <w:sz w:val="24"/>
          <w:szCs w:val="24"/>
        </w:rPr>
        <w:t xml:space="preserve">	4</w:t>
      </w:r>
    </w:p>
    <w:p>
      <w:pPr>
        <w:tabs>
          <w:tab w:val="right" w:pos="8220"/>
        </w:tabs>
        <w:spacing w:line="360"/>
        <w:jc w:val="left"/>
      </w:pPr>
      <w:r>
        <w:rPr>
          <w:rFonts w:ascii="Times New Roman" w:cs="Times New Roman" w:eastAsia="Times New Roman" w:hAnsi="Times New Roman"/>
          <w:sz w:val="24"/>
          <w:szCs w:val="24"/>
        </w:rPr>
        <w:t xml:space="preserve">   Age Decline and Performance</w:t>
      </w:r>
      <w:r>
        <w:rPr>
          <w:rFonts w:ascii="Times New Roman" w:cs="Times New Roman" w:eastAsia="Times New Roman" w:hAnsi="Times New Roman"/>
          <w:sz w:val="24"/>
          <w:szCs w:val="24"/>
        </w:rPr>
        <w:t xml:space="preserve">	4</w:t>
      </w:r>
    </w:p>
    <w:p>
      <w:pPr>
        <w:tabs>
          <w:tab w:val="right" w:pos="8220"/>
        </w:tabs>
        <w:spacing w:line="360"/>
        <w:jc w:val="left"/>
      </w:pPr>
      <w:r>
        <w:rPr>
          <w:rFonts w:ascii="Times New Roman" w:cs="Times New Roman" w:eastAsia="Times New Roman" w:hAnsi="Times New Roman"/>
          <w:sz w:val="24"/>
          <w:szCs w:val="24"/>
        </w:rPr>
        <w:t xml:space="preserve">   Momentum and Streak Effects</w:t>
      </w:r>
      <w:r>
        <w:rPr>
          <w:rFonts w:ascii="Times New Roman" w:cs="Times New Roman" w:eastAsia="Times New Roman" w:hAnsi="Times New Roman"/>
          <w:sz w:val="24"/>
          <w:szCs w:val="24"/>
        </w:rPr>
        <w:t xml:space="preserve">	5</w:t>
      </w:r>
    </w:p>
    <w:p>
      <w:pPr>
        <w:tabs>
          <w:tab w:val="right" w:pos="8220"/>
        </w:tabs>
        <w:spacing w:line="360"/>
        <w:jc w:val="left"/>
      </w:pPr>
      <w:r>
        <w:rPr>
          <w:rFonts w:ascii="Times New Roman" w:cs="Times New Roman" w:eastAsia="Times New Roman" w:hAnsi="Times New Roman"/>
          <w:sz w:val="24"/>
          <w:szCs w:val="24"/>
        </w:rPr>
        <w:t xml:space="preserve">Methodology</w:t>
      </w:r>
      <w:r>
        <w:rPr>
          <w:rFonts w:ascii="Times New Roman" w:cs="Times New Roman" w:eastAsia="Times New Roman" w:hAnsi="Times New Roman"/>
          <w:sz w:val="24"/>
          <w:szCs w:val="24"/>
        </w:rPr>
        <w:t xml:space="preserve">	6</w:t>
      </w:r>
    </w:p>
    <w:p>
      <w:pPr>
        <w:tabs>
          <w:tab w:val="right" w:pos="8220"/>
        </w:tabs>
        <w:spacing w:line="360"/>
        <w:jc w:val="left"/>
      </w:pPr>
      <w:r>
        <w:rPr>
          <w:rFonts w:ascii="Times New Roman" w:cs="Times New Roman" w:eastAsia="Times New Roman" w:hAnsi="Times New Roman"/>
          <w:sz w:val="24"/>
          <w:szCs w:val="24"/>
        </w:rPr>
        <w:t xml:space="preserve">   Data Source and Preparation</w:t>
      </w:r>
      <w:r>
        <w:rPr>
          <w:rFonts w:ascii="Times New Roman" w:cs="Times New Roman" w:eastAsia="Times New Roman" w:hAnsi="Times New Roman"/>
          <w:sz w:val="24"/>
          <w:szCs w:val="24"/>
        </w:rPr>
        <w:t xml:space="preserve">	6</w:t>
      </w:r>
    </w:p>
    <w:p>
      <w:pPr>
        <w:tabs>
          <w:tab w:val="right" w:pos="8220"/>
        </w:tabs>
        <w:spacing w:line="360"/>
        <w:jc w:val="left"/>
      </w:pPr>
      <w:r>
        <w:rPr>
          <w:rFonts w:ascii="Times New Roman" w:cs="Times New Roman" w:eastAsia="Times New Roman" w:hAnsi="Times New Roman"/>
          <w:sz w:val="24"/>
          <w:szCs w:val="24"/>
        </w:rPr>
        <w:t xml:space="preserve">   Attack Score Calculation</w:t>
      </w:r>
      <w:r>
        <w:rPr>
          <w:rFonts w:ascii="Times New Roman" w:cs="Times New Roman" w:eastAsia="Times New Roman" w:hAnsi="Times New Roman"/>
          <w:sz w:val="24"/>
          <w:szCs w:val="24"/>
        </w:rPr>
        <w:t xml:space="preserve">	6</w:t>
      </w:r>
    </w:p>
    <w:p>
      <w:pPr>
        <w:tabs>
          <w:tab w:val="right" w:pos="8220"/>
        </w:tabs>
        <w:spacing w:line="360"/>
        <w:jc w:val="left"/>
      </w:pPr>
      <w:r>
        <w:rPr>
          <w:rFonts w:ascii="Times New Roman" w:cs="Times New Roman" w:eastAsia="Times New Roman" w:hAnsi="Times New Roman"/>
          <w:sz w:val="24"/>
          <w:szCs w:val="24"/>
        </w:rPr>
        <w:t xml:space="preserve">   Defence Score Calculation</w:t>
      </w:r>
      <w:r>
        <w:rPr>
          <w:rFonts w:ascii="Times New Roman" w:cs="Times New Roman" w:eastAsia="Times New Roman" w:hAnsi="Times New Roman"/>
          <w:sz w:val="24"/>
          <w:szCs w:val="24"/>
        </w:rPr>
        <w:t xml:space="preserve">	7</w:t>
      </w:r>
    </w:p>
    <w:p>
      <w:pPr>
        <w:tabs>
          <w:tab w:val="right" w:pos="8220"/>
        </w:tabs>
        <w:spacing w:line="360"/>
        <w:jc w:val="left"/>
      </w:pPr>
      <w:r>
        <w:rPr>
          <w:rFonts w:ascii="Times New Roman" w:cs="Times New Roman" w:eastAsia="Times New Roman" w:hAnsi="Times New Roman"/>
          <w:sz w:val="24"/>
          <w:szCs w:val="24"/>
        </w:rPr>
        <w:t xml:space="preserve">   Age Decline Function</w:t>
      </w:r>
      <w:r>
        <w:rPr>
          <w:rFonts w:ascii="Times New Roman" w:cs="Times New Roman" w:eastAsia="Times New Roman" w:hAnsi="Times New Roman"/>
          <w:sz w:val="24"/>
          <w:szCs w:val="24"/>
        </w:rPr>
        <w:t xml:space="preserve">	7</w:t>
      </w:r>
    </w:p>
    <w:p>
      <w:pPr>
        <w:tabs>
          <w:tab w:val="right" w:pos="8220"/>
        </w:tabs>
        <w:spacing w:line="360"/>
        <w:jc w:val="left"/>
      </w:pPr>
      <w:r>
        <w:rPr>
          <w:rFonts w:ascii="Times New Roman" w:cs="Times New Roman" w:eastAsia="Times New Roman" w:hAnsi="Times New Roman"/>
          <w:sz w:val="24"/>
          <w:szCs w:val="24"/>
        </w:rPr>
        <w:t xml:space="preserve">   Match Simulation: The Poisson Draw</w:t>
      </w:r>
      <w:r>
        <w:rPr>
          <w:rFonts w:ascii="Times New Roman" w:cs="Times New Roman" w:eastAsia="Times New Roman" w:hAnsi="Times New Roman"/>
          <w:sz w:val="24"/>
          <w:szCs w:val="24"/>
        </w:rPr>
        <w:t xml:space="preserve">	8</w:t>
      </w:r>
    </w:p>
    <w:p>
      <w:pPr>
        <w:tabs>
          <w:tab w:val="right" w:pos="8220"/>
        </w:tabs>
        <w:spacing w:line="360"/>
        <w:jc w:val="left"/>
      </w:pPr>
      <w:r>
        <w:rPr>
          <w:rFonts w:ascii="Times New Roman" w:cs="Times New Roman" w:eastAsia="Times New Roman" w:hAnsi="Times New Roman"/>
          <w:sz w:val="24"/>
          <w:szCs w:val="24"/>
        </w:rPr>
        <w:t xml:space="preserve">   Streak Adjustments</w:t>
      </w:r>
      <w:r>
        <w:rPr>
          <w:rFonts w:ascii="Times New Roman" w:cs="Times New Roman" w:eastAsia="Times New Roman" w:hAnsi="Times New Roman"/>
          <w:sz w:val="24"/>
          <w:szCs w:val="24"/>
        </w:rPr>
        <w:t xml:space="preserve">	8</w:t>
      </w:r>
    </w:p>
    <w:p>
      <w:pPr>
        <w:tabs>
          <w:tab w:val="right" w:pos="8220"/>
        </w:tabs>
        <w:spacing w:line="360"/>
        <w:jc w:val="left"/>
      </w:pPr>
      <w:r>
        <w:rPr>
          <w:rFonts w:ascii="Times New Roman" w:cs="Times New Roman" w:eastAsia="Times New Roman" w:hAnsi="Times New Roman"/>
          <w:sz w:val="24"/>
          <w:szCs w:val="24"/>
        </w:rPr>
        <w:t xml:space="preserve">   Derby and Top-6 Effects</w:t>
      </w:r>
      <w:r>
        <w:rPr>
          <w:rFonts w:ascii="Times New Roman" w:cs="Times New Roman" w:eastAsia="Times New Roman" w:hAnsi="Times New Roman"/>
          <w:sz w:val="24"/>
          <w:szCs w:val="24"/>
        </w:rPr>
        <w:t xml:space="preserve">	9</w:t>
      </w:r>
    </w:p>
    <w:p>
      <w:pPr>
        <w:tabs>
          <w:tab w:val="right" w:pos="8220"/>
        </w:tabs>
        <w:spacing w:line="360"/>
        <w:jc w:val="left"/>
      </w:pPr>
      <w:r>
        <w:rPr>
          <w:rFonts w:ascii="Times New Roman" w:cs="Times New Roman" w:eastAsia="Times New Roman" w:hAnsi="Times New Roman"/>
          <w:sz w:val="24"/>
          <w:szCs w:val="24"/>
        </w:rPr>
        <w:t xml:space="preserve">   Random Starting Line-Up Selection</w:t>
      </w:r>
      <w:r>
        <w:rPr>
          <w:rFonts w:ascii="Times New Roman" w:cs="Times New Roman" w:eastAsia="Times New Roman" w:hAnsi="Times New Roman"/>
          <w:sz w:val="24"/>
          <w:szCs w:val="24"/>
        </w:rPr>
        <w:t xml:space="preserve">	9</w:t>
      </w:r>
    </w:p>
    <w:p>
      <w:pPr>
        <w:tabs>
          <w:tab w:val="right" w:pos="8220"/>
        </w:tabs>
        <w:spacing w:line="360"/>
        <w:jc w:val="left"/>
      </w:pPr>
      <w:r>
        <w:rPr>
          <w:rFonts w:ascii="Times New Roman" w:cs="Times New Roman" w:eastAsia="Times New Roman" w:hAnsi="Times New Roman"/>
          <w:sz w:val="24"/>
          <w:szCs w:val="24"/>
        </w:rPr>
        <w:t xml:space="preserve">   Running the Simulation</w:t>
      </w:r>
      <w:r>
        <w:rPr>
          <w:rFonts w:ascii="Times New Roman" w:cs="Times New Roman" w:eastAsia="Times New Roman" w:hAnsi="Times New Roman"/>
          <w:sz w:val="24"/>
          <w:szCs w:val="24"/>
        </w:rPr>
        <w:t xml:space="preserve">	10</w:t>
      </w:r>
    </w:p>
    <w:p>
      <w:pPr>
        <w:tabs>
          <w:tab w:val="right" w:pos="8220"/>
        </w:tabs>
        <w:spacing w:line="360"/>
        <w:jc w:val="left"/>
      </w:pPr>
      <w:r>
        <w:rPr>
          <w:rFonts w:ascii="Times New Roman" w:cs="Times New Roman" w:eastAsia="Times New Roman" w:hAnsi="Times New Roman"/>
          <w:sz w:val="24"/>
          <w:szCs w:val="24"/>
        </w:rPr>
        <w:t xml:space="preserve">Findings</w:t>
      </w:r>
      <w:r>
        <w:rPr>
          <w:rFonts w:ascii="Times New Roman" w:cs="Times New Roman" w:eastAsia="Times New Roman" w:hAnsi="Times New Roman"/>
          <w:sz w:val="24"/>
          <w:szCs w:val="24"/>
        </w:rPr>
        <w:t xml:space="preserve">	10</w:t>
      </w:r>
    </w:p>
    <w:p>
      <w:pPr>
        <w:tabs>
          <w:tab w:val="right" w:pos="8220"/>
        </w:tabs>
        <w:spacing w:line="360"/>
        <w:jc w:val="left"/>
      </w:pPr>
      <w:r>
        <w:rPr>
          <w:rFonts w:ascii="Times New Roman" w:cs="Times New Roman" w:eastAsia="Times New Roman" w:hAnsi="Times New Roman"/>
          <w:sz w:val="24"/>
          <w:szCs w:val="24"/>
        </w:rPr>
        <w:t xml:space="preserve">   Team Strength Values</w:t>
      </w:r>
      <w:r>
        <w:rPr>
          <w:rFonts w:ascii="Times New Roman" w:cs="Times New Roman" w:eastAsia="Times New Roman" w:hAnsi="Times New Roman"/>
          <w:sz w:val="24"/>
          <w:szCs w:val="24"/>
        </w:rPr>
        <w:t xml:space="preserve">	10</w:t>
      </w:r>
    </w:p>
    <w:p>
      <w:pPr>
        <w:tabs>
          <w:tab w:val="right" w:pos="8220"/>
        </w:tabs>
        <w:spacing w:line="360"/>
        <w:jc w:val="left"/>
      </w:pPr>
      <w:r>
        <w:rPr>
          <w:rFonts w:ascii="Times New Roman" w:cs="Times New Roman" w:eastAsia="Times New Roman" w:hAnsi="Times New Roman"/>
          <w:sz w:val="24"/>
          <w:szCs w:val="24"/>
        </w:rPr>
        <w:t xml:space="preserve">   Simulation Results</w:t>
      </w:r>
      <w:r>
        <w:rPr>
          <w:rFonts w:ascii="Times New Roman" w:cs="Times New Roman" w:eastAsia="Times New Roman" w:hAnsi="Times New Roman"/>
          <w:sz w:val="24"/>
          <w:szCs w:val="24"/>
        </w:rPr>
        <w:t xml:space="preserve">	11</w:t>
      </w:r>
    </w:p>
    <w:p>
      <w:pPr>
        <w:tabs>
          <w:tab w:val="right" w:pos="8220"/>
        </w:tabs>
        <w:spacing w:line="360"/>
        <w:jc w:val="left"/>
      </w:pPr>
      <w:r>
        <w:rPr>
          <w:rFonts w:ascii="Times New Roman" w:cs="Times New Roman" w:eastAsia="Times New Roman" w:hAnsi="Times New Roman"/>
          <w:sz w:val="24"/>
          <w:szCs w:val="24"/>
        </w:rPr>
        <w:t xml:space="preserve">Discussion and Conclusions</w:t>
      </w:r>
      <w:r>
        <w:rPr>
          <w:rFonts w:ascii="Times New Roman" w:cs="Times New Roman" w:eastAsia="Times New Roman" w:hAnsi="Times New Roman"/>
          <w:sz w:val="24"/>
          <w:szCs w:val="24"/>
        </w:rPr>
        <w:t xml:space="preserve">	13</w:t>
      </w:r>
    </w:p>
    <w:p>
      <w:pPr>
        <w:tabs>
          <w:tab w:val="right" w:pos="8220"/>
        </w:tabs>
        <w:spacing w:line="360"/>
        <w:jc w:val="left"/>
      </w:pPr>
      <w:r>
        <w:rPr>
          <w:rFonts w:ascii="Times New Roman" w:cs="Times New Roman" w:eastAsia="Times New Roman" w:hAnsi="Times New Roman"/>
          <w:sz w:val="24"/>
          <w:szCs w:val="24"/>
        </w:rPr>
        <w:t xml:space="preserve">   Comparing Results With the 2020-21 Season</w:t>
      </w:r>
      <w:r>
        <w:rPr>
          <w:rFonts w:ascii="Times New Roman" w:cs="Times New Roman" w:eastAsia="Times New Roman" w:hAnsi="Times New Roman"/>
          <w:sz w:val="24"/>
          <w:szCs w:val="24"/>
        </w:rPr>
        <w:t xml:space="preserve">	13</w:t>
      </w:r>
    </w:p>
    <w:p>
      <w:pPr>
        <w:tabs>
          <w:tab w:val="right" w:pos="8220"/>
        </w:tabs>
        <w:spacing w:line="360"/>
        <w:jc w:val="left"/>
      </w:pPr>
      <w:r>
        <w:rPr>
          <w:rFonts w:ascii="Times New Roman" w:cs="Times New Roman" w:eastAsia="Times New Roman" w:hAnsi="Times New Roman"/>
          <w:sz w:val="24"/>
          <w:szCs w:val="24"/>
        </w:rPr>
        <w:t xml:space="preserve">   Probability Accuracy: Brier Scores</w:t>
      </w:r>
      <w:r>
        <w:rPr>
          <w:rFonts w:ascii="Times New Roman" w:cs="Times New Roman" w:eastAsia="Times New Roman" w:hAnsi="Times New Roman"/>
          <w:sz w:val="24"/>
          <w:szCs w:val="24"/>
        </w:rPr>
        <w:t xml:space="preserve">	14</w:t>
      </w:r>
    </w:p>
    <w:p>
      <w:pPr>
        <w:tabs>
          <w:tab w:val="right" w:pos="8220"/>
        </w:tabs>
        <w:spacing w:line="360"/>
        <w:jc w:val="left"/>
      </w:pPr>
      <w:r>
        <w:rPr>
          <w:rFonts w:ascii="Times New Roman" w:cs="Times New Roman" w:eastAsia="Times New Roman" w:hAnsi="Times New Roman"/>
          <w:sz w:val="24"/>
          <w:szCs w:val="24"/>
        </w:rPr>
        <w:t xml:space="preserve">   Why Some Predictions Were Wrong</w:t>
      </w:r>
      <w:r>
        <w:rPr>
          <w:rFonts w:ascii="Times New Roman" w:cs="Times New Roman" w:eastAsia="Times New Roman" w:hAnsi="Times New Roman"/>
          <w:sz w:val="24"/>
          <w:szCs w:val="24"/>
        </w:rPr>
        <w:t xml:space="preserve">	15</w:t>
      </w:r>
    </w:p>
    <w:p>
      <w:pPr>
        <w:tabs>
          <w:tab w:val="right" w:pos="8220"/>
        </w:tabs>
        <w:spacing w:line="360"/>
        <w:jc w:val="left"/>
      </w:pPr>
      <w:r>
        <w:rPr>
          <w:rFonts w:ascii="Times New Roman" w:cs="Times New Roman" w:eastAsia="Times New Roman" w:hAnsi="Times New Roman"/>
          <w:sz w:val="24"/>
          <w:szCs w:val="24"/>
        </w:rPr>
        <w:t xml:space="preserve">   Limitations</w:t>
      </w:r>
      <w:r>
        <w:rPr>
          <w:rFonts w:ascii="Times New Roman" w:cs="Times New Roman" w:eastAsia="Times New Roman" w:hAnsi="Times New Roman"/>
          <w:sz w:val="24"/>
          <w:szCs w:val="24"/>
        </w:rPr>
        <w:t xml:space="preserve">	15</w:t>
      </w:r>
    </w:p>
    <w:p>
      <w:pPr>
        <w:tabs>
          <w:tab w:val="right" w:pos="8220"/>
        </w:tabs>
        <w:spacing w:line="360"/>
        <w:jc w:val="left"/>
      </w:pPr>
      <w:r>
        <w:rPr>
          <w:rFonts w:ascii="Times New Roman" w:cs="Times New Roman" w:eastAsia="Times New Roman" w:hAnsi="Times New Roman"/>
          <w:sz w:val="24"/>
          <w:szCs w:val="24"/>
        </w:rPr>
        <w:t xml:space="preserve">   Conclusions and Future Work</w:t>
      </w:r>
      <w:r>
        <w:rPr>
          <w:rFonts w:ascii="Times New Roman" w:cs="Times New Roman" w:eastAsia="Times New Roman" w:hAnsi="Times New Roman"/>
          <w:sz w:val="24"/>
          <w:szCs w:val="24"/>
        </w:rPr>
        <w:t xml:space="preserve">	16</w:t>
      </w:r>
    </w:p>
    <w:p>
      <w:pPr>
        <w:tabs>
          <w:tab w:val="right" w:pos="8220"/>
        </w:tabs>
        <w:spacing w:line="360"/>
        <w:jc w:val="left"/>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17</w:t>
      </w:r>
    </w:p>
    <w:p>
      <w:pPr>
        <w:spacing w:line="360"/>
      </w:pPr>
    </w:p>
    <w:p>
      <w:r>
        <w:br w:type="page"/>
      </w:r>
    </w:p>
    <w:p>
      <w:pPr>
        <w:spacing w:line="360" w:before="0" w:after="0"/>
        <w:jc w:val="center"/>
      </w:pPr>
      <w:r>
        <w:rPr>
          <w:rFonts w:ascii="Times New Roman" w:cs="Times New Roman" w:eastAsia="Times New Roman" w:hAnsi="Times New Roman"/>
          <w:b/>
          <w:bCs/>
          <w:sz w:val="24"/>
          <w:szCs w:val="24"/>
        </w:rPr>
        <w:t xml:space="preserve">Introduction</w:t>
      </w:r>
    </w:p>
    <w:p>
      <w:pPr>
        <w:spacing w:line="360"/>
      </w:pPr>
    </w:p>
    <w:p>
      <w:pPr>
        <w:spacing w:line="360" w:before="0" w:after="0"/>
        <w:ind w:firstLine="567"/>
        <w:jc w:val="both"/>
      </w:pPr>
      <w:r>
        <w:rPr>
          <w:rFonts w:ascii="Times New Roman" w:cs="Times New Roman" w:eastAsia="Times New Roman" w:hAnsi="Times New Roman"/>
          <w:sz w:val="24"/>
          <w:szCs w:val="24"/>
        </w:rPr>
        <w:t xml:space="preserve">Researchers have studied football results using mathematical models for many decades. One early finding, noted by Moroney (1956), was that the number of goals in a match closely follows the Poisson distribution. This observation has been used to build many different types of simulation models over the years. As sports data has become more widely available, there is growing interest in models that go beyond single-match predictions and instead estimate the probability of different outcomes across a full season.</w:t>
      </w:r>
    </w:p>
    <w:p>
      <w:pPr>
        <w:spacing w:line="360"/>
      </w:pPr>
    </w:p>
    <w:p>
      <w:pPr>
        <w:spacing w:line="360" w:before="0" w:after="0"/>
        <w:ind w:firstLine="567"/>
        <w:jc w:val="both"/>
      </w:pPr>
      <w:r>
        <w:rPr>
          <w:rFonts w:ascii="Times New Roman" w:cs="Times New Roman" w:eastAsia="Times New Roman" w:hAnsi="Times New Roman"/>
          <w:sz w:val="24"/>
          <w:szCs w:val="24"/>
        </w:rPr>
        <w:t xml:space="preserve">Most existing models work at the team level: they estimate how strong each team is based on its recent results and use that estimate to predict future matches. However, this approach treats each club as a single unit and does not account for the differences between individual players. The model in this report takes a different approach. It calculates each team's attacking and defensive strength from the career Premier League statistics of its individual players, then combines these into a team-level score.</w:t>
      </w:r>
    </w:p>
    <w:p>
      <w:pPr>
        <w:spacing w:line="360"/>
      </w:pPr>
    </w:p>
    <w:p>
      <w:pPr>
        <w:spacing w:line="360" w:before="0" w:after="0"/>
        <w:ind w:firstLine="567"/>
        <w:jc w:val="both"/>
      </w:pPr>
      <w:r>
        <w:rPr>
          <w:rFonts w:ascii="Times New Roman" w:cs="Times New Roman" w:eastAsia="Times New Roman" w:hAnsi="Times New Roman"/>
          <w:sz w:val="24"/>
          <w:szCs w:val="24"/>
        </w:rPr>
        <w:t xml:space="preserve">The model includes three main improvements over a simple Poisson baseline. First, each player's statistics are calculated per appearance rather than as career totals, adjusted by position and age. Second, the match simulation uses several adjustment factors — home advantage, recent form, rivalry effects, and discipline rates — all based on findings from academic research. Third, a random line-up selection process is added to reflect the variation that occurs match to match. The model was run for 1,000 complete seasons using data from September 2020 and the results were tested against the actual 2020-21 Premier League season.</w:t>
      </w:r>
    </w:p>
    <w:p>
      <w:pPr>
        <w:spacing w:line="360"/>
      </w:pPr>
    </w:p>
    <w:p>
      <w:pPr>
        <w:spacing w:line="360" w:before="0" w:after="0"/>
        <w:ind w:firstLine="567"/>
        <w:jc w:val="both"/>
      </w:pPr>
      <w:r>
        <w:rPr>
          <w:rFonts w:ascii="Times New Roman" w:cs="Times New Roman" w:eastAsia="Times New Roman" w:hAnsi="Times New Roman"/>
          <w:sz w:val="24"/>
          <w:szCs w:val="24"/>
        </w:rPr>
        <w:t xml:space="preserve">This report is organised as follows. The Literature Review covers the key research that informed each modelling decision. The Methodology section describes each part of the data pipeline and match engine in detail. The Findings section shows the team scores and simulation output. The Discussion and Conclusions section compares the results with the real season and identifies areas for future improvement.</w:t>
      </w:r>
    </w:p>
    <w:p>
      <w:pPr>
        <w:spacing w:line="360"/>
      </w:pPr>
    </w:p>
    <w:p>
      <w:r>
        <w:br w:type="page"/>
      </w:r>
    </w:p>
    <w:p>
      <w:pPr>
        <w:spacing w:line="360" w:before="0" w:after="0"/>
        <w:jc w:val="center"/>
      </w:pPr>
      <w:r>
        <w:rPr>
          <w:rFonts w:ascii="Times New Roman" w:cs="Times New Roman" w:eastAsia="Times New Roman" w:hAnsi="Times New Roman"/>
          <w:b/>
          <w:bCs/>
          <w:sz w:val="24"/>
          <w:szCs w:val="24"/>
        </w:rPr>
        <w:t xml:space="preserve">Literature Review</w:t>
      </w:r>
    </w:p>
    <w:p>
      <w:pPr>
        <w:spacing w:line="360"/>
      </w:pPr>
    </w:p>
    <w:p>
      <w:pPr>
        <w:spacing w:line="360" w:before="0" w:after="0"/>
        <w:jc w:val="left"/>
      </w:pPr>
      <w:r>
        <w:rPr>
          <w:rFonts w:ascii="Times New Roman" w:cs="Times New Roman" w:eastAsia="Times New Roman" w:hAnsi="Times New Roman"/>
          <w:b/>
          <w:bCs/>
          <w:sz w:val="24"/>
          <w:szCs w:val="24"/>
        </w:rPr>
        <w:t xml:space="preserve">Poisson Models for Football Outcomes</w:t>
      </w:r>
    </w:p>
    <w:p>
      <w:pPr>
        <w:spacing w:line="360"/>
      </w:pPr>
    </w:p>
    <w:p>
      <w:pPr>
        <w:spacing w:line="360" w:before="0" w:after="0"/>
        <w:ind w:firstLine="567"/>
        <w:jc w:val="both"/>
      </w:pPr>
      <w:r>
        <w:rPr>
          <w:rFonts w:ascii="Times New Roman" w:cs="Times New Roman" w:eastAsia="Times New Roman" w:hAnsi="Times New Roman"/>
          <w:sz w:val="24"/>
          <w:szCs w:val="24"/>
        </w:rPr>
        <w:t xml:space="preserve">The use of the Poisson distribution in football modelling started with Moroney (1956), who showed that the number of goals in a match follows a Poisson pattern with a low average. Maher (1982) developed this into a model where the home team's goals and the away team's goals are treated as two separate Poisson processes. Each team is given an attack score and a defence score. Although the two goal counts are not fully independent in reality, this assumption works well enough for most purposes.</w:t>
      </w:r>
    </w:p>
    <w:p>
      <w:pPr>
        <w:spacing w:line="360"/>
      </w:pPr>
    </w:p>
    <w:p>
      <w:pPr>
        <w:spacing w:line="360" w:before="0" w:after="0"/>
        <w:ind w:firstLine="567"/>
        <w:jc w:val="both"/>
      </w:pPr>
      <w:r>
        <w:rPr>
          <w:rFonts w:ascii="Times New Roman" w:cs="Times New Roman" w:eastAsia="Times New Roman" w:hAnsi="Times New Roman"/>
          <w:sz w:val="24"/>
          <w:szCs w:val="24"/>
        </w:rPr>
        <w:t xml:space="preserve">Dixon and Coles (1997) found that the basic Poisson model did not predict low-scoring results — such as 0-0 and 1-0 — accurately enough. They added a small correction for these specific scorelines. Later researchers improved the model further: Rue and Salvesen (2000) allowed team strengths to change over the course of a season, and Baio and Blangiardo (2010) used a Bayesian framework to estimate all team parameters together. The present model uses the Dixon-Coles formula for the expected goal rate: (attack_home + defence_away) / 2. Team scores are adjusted so that the league average matches the historical Premier League figure of 1.36 goals per team per match. The low-score correction from Dixon and Coles (1997) is not used, which is a known simplification discussed later in the limitations section.</w:t>
      </w:r>
    </w:p>
    <w:p>
      <w:pPr>
        <w:spacing w:line="360"/>
      </w:pPr>
    </w:p>
    <w:p>
      <w:pPr>
        <w:spacing w:line="360" w:before="0" w:after="0"/>
        <w:jc w:val="left"/>
      </w:pPr>
      <w:r>
        <w:rPr>
          <w:rFonts w:ascii="Times New Roman" w:cs="Times New Roman" w:eastAsia="Times New Roman" w:hAnsi="Times New Roman"/>
          <w:b/>
          <w:bCs/>
          <w:sz w:val="24"/>
          <w:szCs w:val="24"/>
        </w:rPr>
        <w:t xml:space="preserve">Player-Level Quality Metrics</w:t>
      </w:r>
    </w:p>
    <w:p>
      <w:pPr>
        <w:spacing w:line="360"/>
      </w:pPr>
    </w:p>
    <w:p>
      <w:pPr>
        <w:spacing w:line="360" w:before="0" w:after="0"/>
        <w:ind w:firstLine="567"/>
        <w:jc w:val="both"/>
      </w:pPr>
      <w:r>
        <w:rPr>
          <w:rFonts w:ascii="Times New Roman" w:cs="Times New Roman" w:eastAsia="Times New Roman" w:hAnsi="Times New Roman"/>
          <w:sz w:val="24"/>
          <w:szCs w:val="24"/>
        </w:rPr>
        <w:t xml:space="preserve">Carmichael et al. (2001) showed that individual player efficiency scores — goals, assists, and defensive actions divided by appearances — are useful predictors of team performance. Their results support the approach used here, where each player's contribution is calculated per appearance rather than as a raw total. This ensures that a player with 10 goals in 50 appearances is valued more than a player with 10 goals in 200 appearances.</w:t>
      </w:r>
    </w:p>
    <w:p>
      <w:pPr>
        <w:spacing w:line="360"/>
      </w:pPr>
    </w:p>
    <w:p>
      <w:pPr>
        <w:spacing w:line="360" w:before="0" w:after="0"/>
        <w:ind w:firstLine="567"/>
        <w:jc w:val="both"/>
      </w:pPr>
      <w:r>
        <w:rPr>
          <w:rFonts w:ascii="Times New Roman" w:cs="Times New Roman" w:eastAsia="Times New Roman" w:hAnsi="Times New Roman"/>
          <w:sz w:val="24"/>
          <w:szCs w:val="24"/>
        </w:rPr>
        <w:t xml:space="preserve">The role of different positions in attacking and defending has also been studied. Dawson et al. (2000) noted that forwards and midfielders contribute most directly to goals, while goalkeepers and defenders work mainly by stopping the other team from scoring. The position weights used in this model — 0.0 for goalkeepers, 0.15 for defenders, 0.55 for midfielders, and 1.0 for forwards in attack — reflect these findings.</w:t>
      </w:r>
    </w:p>
    <w:p>
      <w:pPr>
        <w:spacing w:line="360"/>
      </w:pPr>
    </w:p>
    <w:p>
      <w:pPr>
        <w:spacing w:line="360" w:before="0" w:after="0"/>
        <w:jc w:val="left"/>
      </w:pPr>
      <w:r>
        <w:rPr>
          <w:rFonts w:ascii="Times New Roman" w:cs="Times New Roman" w:eastAsia="Times New Roman" w:hAnsi="Times New Roman"/>
          <w:b/>
          <w:bCs/>
          <w:sz w:val="24"/>
          <w:szCs w:val="24"/>
        </w:rPr>
        <w:t xml:space="preserve">Age Decline and Performance</w:t>
      </w:r>
    </w:p>
    <w:p>
      <w:pPr>
        <w:spacing w:line="360"/>
      </w:pPr>
    </w:p>
    <w:p>
      <w:pPr>
        <w:spacing w:line="360" w:before="0" w:after="0"/>
        <w:ind w:firstLine="567"/>
        <w:jc w:val="both"/>
      </w:pPr>
      <w:r>
        <w:rPr>
          <w:rFonts w:ascii="Times New Roman" w:cs="Times New Roman" w:eastAsia="Times New Roman" w:hAnsi="Times New Roman"/>
          <w:sz w:val="24"/>
          <w:szCs w:val="24"/>
        </w:rPr>
        <w:t xml:space="preserve">Research has consistently shown that footballers reach their best physical performance between the ages of 26 and 28. Dendir (2016) studied a large group of professional players and found that performance declines by around 3 to 5 percent per year after age 30. A similar pattern has been found in other sports that require quick reactions and physical speed (Cumming &amp; Ste-Marie, 2001). However, older players also benefit from experience and tactical understanding, which partially offsets the physical decline.</w:t>
      </w:r>
    </w:p>
    <w:p>
      <w:pPr>
        <w:spacing w:line="360"/>
      </w:pPr>
    </w:p>
    <w:p>
      <w:pPr>
        <w:spacing w:line="360" w:before="0" w:after="0"/>
        <w:ind w:firstLine="567"/>
        <w:jc w:val="both"/>
      </w:pPr>
      <w:r>
        <w:rPr>
          <w:rFonts w:ascii="Times New Roman" w:cs="Times New Roman" w:eastAsia="Times New Roman" w:hAnsi="Times New Roman"/>
          <w:sz w:val="24"/>
          <w:szCs w:val="24"/>
        </w:rPr>
        <w:t xml:space="preserve">Based on these findings, this model reduces each player's contribution by 4 percent per year after the age of 30, with a lower limit of 70 percent. This lower limit reflects the fact that experienced players still contribute meaningfully even in the later stages of their careers.</w:t>
      </w:r>
    </w:p>
    <w:p>
      <w:pPr>
        <w:spacing w:line="360"/>
      </w:pPr>
    </w:p>
    <w:p>
      <w:pPr>
        <w:spacing w:line="360" w:before="0" w:after="0"/>
        <w:jc w:val="left"/>
      </w:pPr>
      <w:r>
        <w:rPr>
          <w:rFonts w:ascii="Times New Roman" w:cs="Times New Roman" w:eastAsia="Times New Roman" w:hAnsi="Times New Roman"/>
          <w:b/>
          <w:bCs/>
          <w:sz w:val="24"/>
          <w:szCs w:val="24"/>
        </w:rPr>
        <w:t xml:space="preserve">Momentum and Streak Effects</w:t>
      </w:r>
    </w:p>
    <w:p>
      <w:pPr>
        <w:spacing w:line="360"/>
      </w:pPr>
    </w:p>
    <w:p>
      <w:pPr>
        <w:spacing w:line="360" w:before="0" w:after="0"/>
        <w:ind w:firstLine="567"/>
        <w:jc w:val="both"/>
      </w:pPr>
      <w:r>
        <w:rPr>
          <w:rFonts w:ascii="Times New Roman" w:cs="Times New Roman" w:eastAsia="Times New Roman" w:hAnsi="Times New Roman"/>
          <w:sz w:val="24"/>
          <w:szCs w:val="24"/>
        </w:rPr>
        <w:t xml:space="preserve">Whether winning or losing several matches in a row affects a team's future performance is a question that has been debated in sports research. Gilovich et al. (1985) studied basketball shooting and found no evidence of a 'hot hand' effect — the idea that a player on a scoring streak is more likely to score next. Later, Miller and Sanjurjo (2018) corrected a statistical error in this earlier study and found a small but real positive pattern in individual shooting data. However, this was for individual players, not teams, and it is not clear that the same effect applies to football.</w:t>
      </w:r>
    </w:p>
    <w:p>
      <w:pPr>
        <w:spacing w:line="360"/>
      </w:pPr>
    </w:p>
    <w:p>
      <w:pPr>
        <w:spacing w:line="360" w:before="0" w:after="0"/>
        <w:ind w:firstLine="567"/>
        <w:jc w:val="both"/>
      </w:pPr>
      <w:r>
        <w:rPr>
          <w:rFonts w:ascii="Times New Roman" w:cs="Times New Roman" w:eastAsia="Times New Roman" w:hAnsi="Times New Roman"/>
          <w:sz w:val="24"/>
          <w:szCs w:val="24"/>
        </w:rPr>
        <w:t xml:space="preserve">For English football specifically, Audas et al. (2002) analysed more than 60,000 matches and found that, after accounting for team quality, a long winning or losing run tends to be followed by a return towards normal performance. This is known as negative persistence. This finding is used in the present model: small bonuses are applied during short winning runs, and a small penalty is applied as wins or losses accumulate, followed by a recovery factor after very long streaks. The biological side of losing streaks — hormonal changes that can affect performance — has also been noted in the research literature (Roebber et al., 2022). Red card effects follow the timing data from Červený et al. (2018), who found that most red cards in football occur around the 65th minute.</w:t>
      </w:r>
    </w:p>
    <w:p>
      <w:pPr>
        <w:spacing w:line="360"/>
      </w:pPr>
    </w:p>
    <w:p>
      <w:r>
        <w:br w:type="page"/>
      </w:r>
    </w:p>
    <w:p>
      <w:pPr>
        <w:spacing w:line="360" w:before="0" w:after="0"/>
        <w:jc w:val="center"/>
      </w:pPr>
      <w:r>
        <w:rPr>
          <w:rFonts w:ascii="Times New Roman" w:cs="Times New Roman" w:eastAsia="Times New Roman" w:hAnsi="Times New Roman"/>
          <w:b/>
          <w:bCs/>
          <w:sz w:val="24"/>
          <w:szCs w:val="24"/>
        </w:rPr>
        <w:t xml:space="preserve">Methodology</w:t>
      </w:r>
    </w:p>
    <w:p>
      <w:pPr>
        <w:spacing w:line="360"/>
      </w:pPr>
    </w:p>
    <w:p>
      <w:pPr>
        <w:spacing w:line="360" w:before="0" w:after="0"/>
        <w:jc w:val="left"/>
      </w:pPr>
      <w:r>
        <w:rPr>
          <w:rFonts w:ascii="Times New Roman" w:cs="Times New Roman" w:eastAsia="Times New Roman" w:hAnsi="Times New Roman"/>
          <w:b/>
          <w:bCs/>
          <w:sz w:val="24"/>
          <w:szCs w:val="24"/>
        </w:rPr>
        <w:t xml:space="preserve">Data Source and Preparation</w:t>
      </w:r>
    </w:p>
    <w:p>
      <w:pPr>
        <w:spacing w:line="360"/>
      </w:pPr>
    </w:p>
    <w:p>
      <w:pPr>
        <w:spacing w:line="360" w:before="0" w:after="0"/>
        <w:ind w:firstLine="567"/>
        <w:jc w:val="both"/>
      </w:pPr>
      <w:r>
        <w:rPr>
          <w:rFonts w:ascii="Times New Roman" w:cs="Times New Roman" w:eastAsia="Times New Roman" w:hAnsi="Times New Roman"/>
          <w:sz w:val="24"/>
          <w:szCs w:val="24"/>
        </w:rPr>
        <w:t xml:space="preserve">The dataset contains career Premier League statistics for all players registered at the 20 clubs that competed in the 2020-21 season. The data was collected on 24 September 2020. For each player, the following information is available: total appearances, goals, assists, clean sheets, goals conceded (for goalkeepers), tackles, interceptions, blocked shots, yellow cards, red cards, fouls, age, and position (Goalkeeper, Defender, Midfielder, or Forward).</w:t>
      </w:r>
    </w:p>
    <w:p>
      <w:pPr>
        <w:spacing w:line="360"/>
      </w:pPr>
    </w:p>
    <w:p>
      <w:pPr>
        <w:spacing w:line="360" w:before="0" w:after="0"/>
        <w:ind w:firstLine="567"/>
        <w:jc w:val="both"/>
      </w:pPr>
      <w:r>
        <w:rPr>
          <w:rFonts w:ascii="Times New Roman" w:cs="Times New Roman" w:eastAsia="Times New Roman" w:hAnsi="Times New Roman"/>
          <w:sz w:val="24"/>
          <w:szCs w:val="24"/>
        </w:rPr>
        <w:t xml:space="preserve">Two preparation steps are applied. First, players with zero appearances are removed because dividing by zero is not possible. Second, any remaining missing values in counting statistics are replaced with zero. This means that a missing value is treated as no contribution, which is a cautious approach. If any records are genuinely missing rather than zero, this will slightly underestimate some players' contributions.</w:t>
      </w:r>
    </w:p>
    <w:p>
      <w:pPr>
        <w:spacing w:line="360"/>
      </w:pPr>
    </w:p>
    <w:p>
      <w:pPr>
        <w:spacing w:line="360" w:before="0" w:after="0"/>
        <w:jc w:val="left"/>
      </w:pPr>
      <w:r>
        <w:rPr>
          <w:rFonts w:ascii="Times New Roman" w:cs="Times New Roman" w:eastAsia="Times New Roman" w:hAnsi="Times New Roman"/>
          <w:b/>
          <w:bCs/>
          <w:sz w:val="24"/>
          <w:szCs w:val="24"/>
        </w:rPr>
        <w:t xml:space="preserve">Attack Score Calculation</w:t>
      </w:r>
    </w:p>
    <w:p>
      <w:pPr>
        <w:spacing w:line="360"/>
      </w:pPr>
    </w:p>
    <w:p>
      <w:pPr>
        <w:spacing w:line="360" w:before="0" w:after="0"/>
        <w:ind w:firstLine="567"/>
        <w:jc w:val="both"/>
      </w:pPr>
      <w:r>
        <w:rPr>
          <w:rFonts w:ascii="Times New Roman" w:cs="Times New Roman" w:eastAsia="Times New Roman" w:hAnsi="Times New Roman"/>
          <w:sz w:val="24"/>
          <w:szCs w:val="24"/>
        </w:rPr>
        <w:t xml:space="preserve">Each player's raw attack score is calculated using the following formula:</w:t>
      </w:r>
    </w:p>
    <w:p>
      <w:pPr>
        <w:spacing w:line="360"/>
      </w:pPr>
    </w:p>
    <w:p>
      <w:pPr>
        <w:spacing w:line="240" w:before="0" w:after="0"/>
        <w:ind w:left="709"/>
        <w:jc w:val="both"/>
      </w:pPr>
      <w:r>
        <w:rPr>
          <w:rFonts w:ascii="Times New Roman" w:cs="Times New Roman" w:eastAsia="Times New Roman" w:hAnsi="Times New Roman"/>
          <w:sz w:val="24"/>
          <w:szCs w:val="24"/>
        </w:rPr>
        <w:t xml:space="preserve">attack_raw_i = (goals_i + 0.5 × assists_i) / appearances_i × position_weight_i × age_decay_i</w:t>
      </w:r>
    </w:p>
    <w:p>
      <w:pPr>
        <w:spacing w:line="360"/>
      </w:pPr>
    </w:p>
    <w:p>
      <w:pPr>
        <w:spacing w:line="360" w:before="0" w:after="0"/>
        <w:ind w:firstLine="567"/>
        <w:jc w:val="both"/>
      </w:pPr>
      <w:r>
        <w:rPr>
          <w:rFonts w:ascii="Times New Roman" w:cs="Times New Roman" w:eastAsia="Times New Roman" w:hAnsi="Times New Roman"/>
          <w:sz w:val="24"/>
          <w:szCs w:val="24"/>
        </w:rPr>
        <w:t xml:space="preserve">Assists are worth 0.5 rather than 1.0 because scoring a goal requires the finishing player to convert, which is not guaranteed. Position weights reflect how much each position contributes to goals. The team-level attack score is then calculated as the weighted average across all squad players, where players with more appearances carry more weight:</w:t>
      </w:r>
    </w:p>
    <w:p>
      <w:pPr>
        <w:spacing w:line="360"/>
      </w:pPr>
    </w:p>
    <w:p>
      <w:pPr>
        <w:spacing w:line="240" w:before="0" w:after="0"/>
        <w:ind w:left="709"/>
        <w:jc w:val="both"/>
      </w:pPr>
      <w:r>
        <w:rPr>
          <w:rFonts w:ascii="Times New Roman" w:cs="Times New Roman" w:eastAsia="Times New Roman" w:hAnsi="Times New Roman"/>
          <w:sz w:val="24"/>
          <w:szCs w:val="24"/>
        </w:rPr>
        <w:t xml:space="preserve">team_attack_raw = Σ(attack_raw_i × appearances_i) / Σ(appearances_j)</w:t>
      </w:r>
    </w:p>
    <w:p>
      <w:pPr>
        <w:spacing w:line="360"/>
      </w:pPr>
    </w:p>
    <w:p>
      <w:pPr>
        <w:spacing w:line="360" w:before="0" w:after="0"/>
        <w:ind w:firstLine="567"/>
        <w:jc w:val="both"/>
      </w:pPr>
      <w:r>
        <w:rPr>
          <w:rFonts w:ascii="Times New Roman" w:cs="Times New Roman" w:eastAsia="Times New Roman" w:hAnsi="Times New Roman"/>
          <w:sz w:val="24"/>
          <w:szCs w:val="24"/>
        </w:rPr>
        <w:t xml:space="preserve">All team scores are then scaled so that the league average equals the historical Premier League figure of 1.36 goals per team per match (2010-2020 average). This step ensures that the simulated goal rates match what is observed in reality.</w:t>
      </w:r>
    </w:p>
    <w:p>
      <w:pPr>
        <w:spacing w:line="360"/>
      </w:pPr>
    </w:p>
    <w:p>
      <w:pPr>
        <w:spacing w:line="360" w:before="0" w:after="0"/>
        <w:jc w:val="left"/>
      </w:pPr>
      <w:r>
        <w:rPr>
          <w:rFonts w:ascii="Times New Roman" w:cs="Times New Roman" w:eastAsia="Times New Roman" w:hAnsi="Times New Roman"/>
          <w:b/>
          <w:bCs/>
          <w:sz w:val="24"/>
          <w:szCs w:val="24"/>
        </w:rPr>
        <w:t xml:space="preserve">Defence Score Calculation</w:t>
      </w:r>
    </w:p>
    <w:p>
      <w:pPr>
        <w:spacing w:line="360"/>
      </w:pPr>
    </w:p>
    <w:p>
      <w:pPr>
        <w:spacing w:line="360" w:before="0" w:after="0"/>
        <w:ind w:firstLine="567"/>
        <w:jc w:val="both"/>
      </w:pPr>
      <w:r>
        <w:rPr>
          <w:rFonts w:ascii="Times New Roman" w:cs="Times New Roman" w:eastAsia="Times New Roman" w:hAnsi="Times New Roman"/>
          <w:sz w:val="24"/>
          <w:szCs w:val="24"/>
        </w:rPr>
        <w:t xml:space="preserve">The defence score is calculated differently for goalkeepers and outfield players. Goalkeepers are scored by their clean-sheet rate (clean_sheets / appearances), which directly measures how often they kept the opposition from scoring. Outfield players are scored by their combined rate of tackles, interceptions, and blocked shots per appearance. These scores are then weighted by position — goalkeepers get the highest weight (1.0), defenders get 0.60, midfielders get 0.20, and forwards get 0.0 — and averaged across the squad using the same appearance-weighted method as for attack.</w:t>
      </w:r>
    </w:p>
    <w:p>
      <w:pPr>
        <w:spacing w:line="360"/>
      </w:pPr>
    </w:p>
    <w:p>
      <w:pPr>
        <w:spacing w:line="360" w:before="0" w:after="0"/>
        <w:jc w:val="left"/>
      </w:pPr>
      <w:r>
        <w:rPr>
          <w:rFonts w:ascii="Times New Roman" w:cs="Times New Roman" w:eastAsia="Times New Roman" w:hAnsi="Times New Roman"/>
          <w:b/>
          <w:bCs/>
          <w:sz w:val="24"/>
          <w:szCs w:val="24"/>
        </w:rPr>
        <w:t xml:space="preserve">Age Decline Function</w:t>
      </w:r>
    </w:p>
    <w:p>
      <w:pPr>
        <w:spacing w:line="360"/>
      </w:pPr>
    </w:p>
    <w:p>
      <w:pPr>
        <w:spacing w:line="360" w:before="0" w:after="0"/>
        <w:ind w:firstLine="567"/>
        <w:jc w:val="both"/>
      </w:pPr>
      <w:r>
        <w:rPr>
          <w:rFonts w:ascii="Times New Roman" w:cs="Times New Roman" w:eastAsia="Times New Roman" w:hAnsi="Times New Roman"/>
          <w:sz w:val="24"/>
          <w:szCs w:val="24"/>
        </w:rPr>
        <w:t xml:space="preserve">A decline factor is applied to each player's scores based on age:</w:t>
      </w:r>
    </w:p>
    <w:p>
      <w:pPr>
        <w:spacing w:line="360"/>
      </w:pPr>
    </w:p>
    <w:p>
      <w:pPr>
        <w:spacing w:line="240" w:before="0" w:after="0"/>
        <w:ind w:left="709"/>
        <w:jc w:val="both"/>
      </w:pPr>
      <w:r>
        <w:rPr>
          <w:rFonts w:ascii="Times New Roman" w:cs="Times New Roman" w:eastAsia="Times New Roman" w:hAnsi="Times New Roman"/>
          <w:sz w:val="24"/>
          <w:szCs w:val="24"/>
        </w:rPr>
        <w:t xml:space="preserve">age_decay(age) = max(0.70,  1.0 − 0.04 × max(0, age − 30))</w:t>
      </w:r>
    </w:p>
    <w:p>
      <w:pPr>
        <w:spacing w:line="360"/>
      </w:pPr>
    </w:p>
    <w:p>
      <w:pPr>
        <w:spacing w:line="360" w:before="0" w:after="0"/>
        <w:ind w:firstLine="567"/>
        <w:jc w:val="both"/>
      </w:pPr>
      <w:r>
        <w:rPr>
          <w:rFonts w:ascii="Times New Roman" w:cs="Times New Roman" w:eastAsia="Times New Roman" w:hAnsi="Times New Roman"/>
          <w:sz w:val="24"/>
          <w:szCs w:val="24"/>
        </w:rPr>
        <w:t xml:space="preserve">Players aged 30 or under are not penalised. For each year above 30, the score is reduced by 4 percent. The minimum value is 70 percent, which accounts for the experience and positional knowledge that older players still bring to the team. The 4 percent rate comes from the midpoint of the range reported by Dendir (2016).</w:t>
      </w:r>
    </w:p>
    <w:p>
      <w:pPr>
        <w:spacing w:line="360"/>
      </w:pPr>
    </w:p>
    <w:p>
      <w:pPr>
        <w:spacing w:line="360" w:before="0" w:after="0"/>
        <w:jc w:val="left"/>
      </w:pPr>
      <w:r>
        <w:rPr>
          <w:rFonts w:ascii="Times New Roman" w:cs="Times New Roman" w:eastAsia="Times New Roman" w:hAnsi="Times New Roman"/>
          <w:b/>
          <w:bCs/>
          <w:sz w:val="24"/>
          <w:szCs w:val="24"/>
        </w:rPr>
        <w:t xml:space="preserve">Match Simulation: The Poisson Draw</w:t>
      </w:r>
    </w:p>
    <w:p>
      <w:pPr>
        <w:spacing w:line="360"/>
      </w:pPr>
    </w:p>
    <w:p>
      <w:pPr>
        <w:spacing w:line="360" w:before="0" w:after="0"/>
        <w:ind w:firstLine="567"/>
        <w:jc w:val="both"/>
      </w:pPr>
      <w:r>
        <w:rPr>
          <w:rFonts w:ascii="Times New Roman" w:cs="Times New Roman" w:eastAsia="Times New Roman" w:hAnsi="Times New Roman"/>
          <w:sz w:val="24"/>
          <w:szCs w:val="24"/>
        </w:rPr>
        <w:t xml:space="preserve">For each simulated match, two expected goal values (called lambda, λ) are calculated — one for each team — and then used to draw random goal counts from the Poisson distribution:</w:t>
      </w:r>
    </w:p>
    <w:p>
      <w:pPr>
        <w:spacing w:line="360"/>
      </w:pPr>
    </w:p>
    <w:p>
      <w:pPr>
        <w:spacing w:line="240" w:before="0" w:after="0"/>
        <w:ind w:left="709"/>
        <w:jc w:val="both"/>
      </w:pPr>
      <w:r>
        <w:rPr>
          <w:rFonts w:ascii="Times New Roman" w:cs="Times New Roman" w:eastAsia="Times New Roman" w:hAnsi="Times New Roman"/>
          <w:sz w:val="24"/>
          <w:szCs w:val="24"/>
        </w:rPr>
        <w:t xml:space="preserve">H ~ Poisson(λ_H);    λ_H = (attack_home + defence_away) / 2  ×  1.10  ×  match_adjustments</w:t>
      </w:r>
    </w:p>
    <w:p>
      <w:pPr>
        <w:spacing w:line="240" w:before="0" w:after="0"/>
        <w:ind w:left="709"/>
        <w:jc w:val="both"/>
      </w:pPr>
      <w:r>
        <w:rPr>
          <w:rFonts w:ascii="Times New Roman" w:cs="Times New Roman" w:eastAsia="Times New Roman" w:hAnsi="Times New Roman"/>
          <w:sz w:val="24"/>
          <w:szCs w:val="24"/>
        </w:rPr>
        <w:t xml:space="preserve">A ~ Poisson(λ_A);    λ_A = (attack_away + defence_home) / 2  ×  0.90  ×  match_adjustments</w:t>
      </w:r>
    </w:p>
    <w:p>
      <w:pPr>
        <w:spacing w:line="360"/>
      </w:pPr>
    </w:p>
    <w:p>
      <w:pPr>
        <w:spacing w:line="360" w:before="0" w:after="0"/>
        <w:ind w:firstLine="567"/>
        <w:jc w:val="both"/>
      </w:pPr>
      <w:r>
        <w:rPr>
          <w:rFonts w:ascii="Times New Roman" w:cs="Times New Roman" w:eastAsia="Times New Roman" w:hAnsi="Times New Roman"/>
          <w:sz w:val="24"/>
          <w:szCs w:val="24"/>
        </w:rPr>
        <w:t xml:space="preserve">The 1.10 and 0.90 multipliers represent home advantage. They are symmetric — their combined effect on total goals is approximately zero — so they only shift the advantage between teams without changing how many goals are expected overall. The 10 percent home advantage is supported by the research of Nevill and Holder (1999). The match result is determined by comparing the two goal counts: the higher score wins, or it is a draw if they are equal. Points are awarded using standard Premier League rules.</w:t>
      </w:r>
    </w:p>
    <w:p>
      <w:pPr>
        <w:spacing w:line="360"/>
      </w:pPr>
    </w:p>
    <w:p>
      <w:pPr>
        <w:spacing w:line="360" w:before="0" w:after="0"/>
        <w:jc w:val="left"/>
      </w:pPr>
      <w:r>
        <w:rPr>
          <w:rFonts w:ascii="Times New Roman" w:cs="Times New Roman" w:eastAsia="Times New Roman" w:hAnsi="Times New Roman"/>
          <w:b/>
          <w:bCs/>
          <w:sz w:val="24"/>
          <w:szCs w:val="24"/>
        </w:rPr>
        <w:t xml:space="preserve">Streak Adjustments</w:t>
      </w:r>
    </w:p>
    <w:p>
      <w:pPr>
        <w:spacing w:line="360"/>
      </w:pPr>
    </w:p>
    <w:p>
      <w:pPr>
        <w:spacing w:line="360" w:before="0" w:after="0"/>
        <w:ind w:firstLine="567"/>
        <w:jc w:val="both"/>
      </w:pPr>
      <w:r>
        <w:rPr>
          <w:rFonts w:ascii="Times New Roman" w:cs="Times New Roman" w:eastAsia="Times New Roman" w:hAnsi="Times New Roman"/>
          <w:sz w:val="24"/>
          <w:szCs w:val="24"/>
        </w:rPr>
        <w:t xml:space="preserve">Two separate streak mechanisms are used, and they cannot both be active at the same time. The first applies a small adjustment based on consecutive wins or losses. Win streaks of one to two matches add 1.0% to the attack lambda; streaks of three to four matches add 1.5%; five matches add 1.0%; and six or more matches reduce it by 1.5%, as the team is expected to return towards its normal level (Audas et al., 2002). For loss streaks, the first two matches reduce lambda by 1.0%; three to four matches by 2.5%; five matches by 3.0%; six matches by 2.0% (this is the point at which a manager typically makes changes); and seven or more matches increase it by 1.5%, reflecting the mean-reversion effect.</w:t>
      </w:r>
    </w:p>
    <w:p>
      <w:pPr>
        <w:spacing w:line="360"/>
      </w:pPr>
    </w:p>
    <w:p>
      <w:pPr>
        <w:spacing w:line="360" w:before="0" w:after="0"/>
        <w:ind w:firstLine="567"/>
        <w:jc w:val="both"/>
      </w:pPr>
      <w:r>
        <w:rPr>
          <w:rFonts w:ascii="Times New Roman" w:cs="Times New Roman" w:eastAsia="Times New Roman" w:hAnsi="Times New Roman"/>
          <w:sz w:val="24"/>
          <w:szCs w:val="24"/>
        </w:rPr>
        <w:t xml:space="preserve">The second mechanism applies only when the most recent result was a draw. In this case, a smaller penalty is applied for a long run without a win, because a draw still gives the team one point and maintains some confidence. Cohen-Zada et al. (2017) noted that draws reduce the negative momentum that builds up during a pure losing run. The two mechanisms are kept separate to avoid double-counting.</w:t>
      </w:r>
    </w:p>
    <w:p>
      <w:pPr>
        <w:spacing w:line="360"/>
      </w:pPr>
    </w:p>
    <w:p>
      <w:pPr>
        <w:spacing w:line="360" w:before="0" w:after="0"/>
        <w:jc w:val="left"/>
      </w:pPr>
      <w:r>
        <w:rPr>
          <w:rFonts w:ascii="Times New Roman" w:cs="Times New Roman" w:eastAsia="Times New Roman" w:hAnsi="Times New Roman"/>
          <w:b/>
          <w:bCs/>
          <w:sz w:val="24"/>
          <w:szCs w:val="24"/>
        </w:rPr>
        <w:t xml:space="preserve">Derby and Top-6 Effects</w:t>
      </w:r>
    </w:p>
    <w:p>
      <w:pPr>
        <w:spacing w:line="360"/>
      </w:pPr>
    </w:p>
    <w:p>
      <w:pPr>
        <w:spacing w:line="360" w:before="0" w:after="0"/>
        <w:ind w:firstLine="567"/>
        <w:jc w:val="both"/>
      </w:pPr>
      <w:r>
        <w:rPr>
          <w:rFonts w:ascii="Times New Roman" w:cs="Times New Roman" w:eastAsia="Times New Roman" w:hAnsi="Times New Roman"/>
          <w:sz w:val="24"/>
          <w:szCs w:val="24"/>
        </w:rPr>
        <w:t xml:space="preserve">In local derbies and matches between the six strongest clubs, the difference in quality between the two teams tends to matter less than in other games. The model reduces the stronger team's lambda by 8% and increases the weaker team's by 15% for derby matches. For Top-6 fixtures, the adjustments are 4% and 8%. These values were set based on an internal analysis of Premier League data and reflect the greater unpredictability of these high-stakes matches.</w:t>
      </w:r>
    </w:p>
    <w:p>
      <w:pPr>
        <w:spacing w:line="360"/>
      </w:pPr>
    </w:p>
    <w:p>
      <w:pPr>
        <w:spacing w:line="360" w:before="0" w:after="0"/>
        <w:jc w:val="left"/>
      </w:pPr>
      <w:r>
        <w:rPr>
          <w:rFonts w:ascii="Times New Roman" w:cs="Times New Roman" w:eastAsia="Times New Roman" w:hAnsi="Times New Roman"/>
          <w:b/>
          <w:bCs/>
          <w:sz w:val="24"/>
          <w:szCs w:val="24"/>
        </w:rPr>
        <w:t xml:space="preserve">Random Starting Line-Up Selection</w:t>
      </w:r>
    </w:p>
    <w:p>
      <w:pPr>
        <w:spacing w:line="360"/>
      </w:pPr>
    </w:p>
    <w:p>
      <w:pPr>
        <w:spacing w:line="360" w:before="0" w:after="0"/>
        <w:ind w:firstLine="567"/>
        <w:jc w:val="both"/>
      </w:pPr>
      <w:r>
        <w:rPr>
          <w:rFonts w:ascii="Times New Roman" w:cs="Times New Roman" w:eastAsia="Times New Roman" w:hAnsi="Times New Roman"/>
          <w:sz w:val="24"/>
          <w:szCs w:val="24"/>
        </w:rPr>
        <w:t xml:space="preserve">Before each match, 11 players are selected from each squad. The probability of each player being selected is proportional to their number of career appearances, which is used as a rough measure of how often they start. Each player has a normalised score — set so that the team average is 1.0 — and the average score of the 11 selected players adjusts the team's lambda as follows:</w:t>
      </w:r>
    </w:p>
    <w:p>
      <w:pPr>
        <w:spacing w:line="360"/>
      </w:pPr>
    </w:p>
    <w:p>
      <w:pPr>
        <w:spacing w:line="240" w:before="0" w:after="0"/>
        <w:ind w:left="709"/>
        <w:jc w:val="both"/>
      </w:pPr>
      <w:r>
        <w:rPr>
          <w:rFonts w:ascii="Times New Roman" w:cs="Times New Roman" w:eastAsia="Times New Roman" w:hAnsi="Times New Roman"/>
          <w:sz w:val="24"/>
          <w:szCs w:val="24"/>
        </w:rPr>
        <w:t xml:space="preserve">λ_final = λ_base × (1 + 0.35 × (roster_mean_score − 1))</w:t>
      </w:r>
    </w:p>
    <w:p>
      <w:pPr>
        <w:spacing w:line="360"/>
      </w:pPr>
    </w:p>
    <w:p>
      <w:pPr>
        <w:spacing w:line="360" w:before="0" w:after="0"/>
        <w:ind w:firstLine="567"/>
        <w:jc w:val="both"/>
      </w:pPr>
      <w:r>
        <w:rPr>
          <w:rFonts w:ascii="Times New Roman" w:cs="Times New Roman" w:eastAsia="Times New Roman" w:hAnsi="Times New Roman"/>
          <w:sz w:val="24"/>
          <w:szCs w:val="24"/>
        </w:rPr>
        <w:t xml:space="preserve">The adjustment factor of 0.35 is used because Dawson et al. (2000) found that individual player variation only explains a small part of team-level results. Applying a full adjustment would give too much weight to line-up changes and reduce the importance of overall team strength, which is the main driver of match outcomes.</w:t>
      </w:r>
    </w:p>
    <w:p>
      <w:pPr>
        <w:spacing w:line="360"/>
      </w:pPr>
    </w:p>
    <w:p>
      <w:pPr>
        <w:spacing w:line="360" w:before="0" w:after="0"/>
        <w:jc w:val="left"/>
      </w:pPr>
      <w:r>
        <w:rPr>
          <w:rFonts w:ascii="Times New Roman" w:cs="Times New Roman" w:eastAsia="Times New Roman" w:hAnsi="Times New Roman"/>
          <w:b/>
          <w:bCs/>
          <w:sz w:val="24"/>
          <w:szCs w:val="24"/>
        </w:rPr>
        <w:t xml:space="preserve">Running the Simulation</w:t>
      </w:r>
    </w:p>
    <w:p>
      <w:pPr>
        <w:spacing w:line="360"/>
      </w:pPr>
    </w:p>
    <w:p>
      <w:pPr>
        <w:spacing w:line="360" w:before="0" w:after="0"/>
        <w:ind w:firstLine="567"/>
        <w:jc w:val="both"/>
      </w:pPr>
      <w:r>
        <w:rPr>
          <w:rFonts w:ascii="Times New Roman" w:cs="Times New Roman" w:eastAsia="Times New Roman" w:hAnsi="Times New Roman"/>
          <w:sz w:val="24"/>
          <w:szCs w:val="24"/>
        </w:rPr>
        <w:t xml:space="preserve">The simulation generates a full 380-match schedule for each season, covering all possible home and away fixtures between the 20 clubs. A fixed random seed of 42 is used before the simulation starts, so all results can be reproduced exactly. After each of the 1,000 seasons, the final league table is saved. Summary statistics are then calculated for each club: mean and standard deviation of points, points at the 10th, 50th, and 90th percentile, average and maximum streak lengths, and the probability of each of the four key outcomes — winning the title, finishing in the Top 4, finishing in the top half, and being relegated.</w:t>
      </w:r>
    </w:p>
    <w:p>
      <w:pPr>
        <w:spacing w:line="360"/>
      </w:pPr>
    </w:p>
    <w:p>
      <w:r>
        <w:br w:type="page"/>
      </w:r>
    </w:p>
    <w:p>
      <w:pPr>
        <w:spacing w:line="360" w:before="0" w:after="0"/>
        <w:jc w:val="center"/>
      </w:pPr>
      <w:r>
        <w:rPr>
          <w:rFonts w:ascii="Times New Roman" w:cs="Times New Roman" w:eastAsia="Times New Roman" w:hAnsi="Times New Roman"/>
          <w:b/>
          <w:bCs/>
          <w:sz w:val="24"/>
          <w:szCs w:val="24"/>
        </w:rPr>
        <w:t xml:space="preserve">Findings</w:t>
      </w:r>
    </w:p>
    <w:p>
      <w:pPr>
        <w:spacing w:line="360"/>
      </w:pPr>
    </w:p>
    <w:p>
      <w:pPr>
        <w:spacing w:line="360" w:before="0" w:after="0"/>
        <w:jc w:val="left"/>
      </w:pPr>
      <w:r>
        <w:rPr>
          <w:rFonts w:ascii="Times New Roman" w:cs="Times New Roman" w:eastAsia="Times New Roman" w:hAnsi="Times New Roman"/>
          <w:b/>
          <w:bCs/>
          <w:sz w:val="24"/>
          <w:szCs w:val="24"/>
        </w:rPr>
        <w:t xml:space="preserve">Team Strength Values</w:t>
      </w:r>
    </w:p>
    <w:p>
      <w:pPr>
        <w:spacing w:line="360"/>
      </w:pPr>
    </w:p>
    <w:p>
      <w:pPr>
        <w:spacing w:line="360" w:before="0" w:after="0"/>
        <w:ind w:firstLine="567"/>
        <w:jc w:val="both"/>
      </w:pPr>
      <w:r>
        <w:rPr>
          <w:rFonts w:ascii="Times New Roman" w:cs="Times New Roman" w:eastAsia="Times New Roman" w:hAnsi="Times New Roman"/>
          <w:sz w:val="24"/>
          <w:szCs w:val="24"/>
        </w:rPr>
        <w:t xml:space="preserve">Table 1 shows the calculated attack lambda, defence rating, and red card rate for all 20 clubs, listed from strongest to weakest attack. The attack lambda shows how many goals a club would be expected to score per match against an average-quality opponent on a neutral ground. Manchester City's lambda of 2.849 is the highest by a clear margin, which reflects the very high per-appearance productivity of their forward and midfield players. Liverpool is second at 2.224. One point to note is Fulham's relatively high attack lambda of 1.271 for a club that was eventually relegated. Several of their players had built up career statistics while playing for stronger clubs in previous seasons, and those historical records push their estimated attack score higher than their actual quality in 2020-21.</w:t>
      </w:r>
    </w:p>
    <w:p>
      <w:pPr>
        <w:spacing w:line="360"/>
      </w:pPr>
    </w:p>
    <w:p>
      <w:pPr>
        <w:spacing w:line="360"/>
        <w:jc w:val="left"/>
      </w:pPr>
      <w:r>
        <w:rPr>
          <w:rFonts w:ascii="Times New Roman" w:cs="Times New Roman" w:eastAsia="Times New Roman" w:hAnsi="Times New Roman"/>
          <w:sz w:val="24"/>
          <w:szCs w:val="24"/>
        </w:rPr>
        <w:t xml:space="preserve">Table 1</w:t>
      </w:r>
    </w:p>
    <w:p>
      <w:pPr>
        <w:spacing w:line="360"/>
        <w:jc w:val="left"/>
      </w:pPr>
      <w:r>
        <w:rPr>
          <w:rFonts w:ascii="Times New Roman" w:cs="Times New Roman" w:eastAsia="Times New Roman" w:hAnsi="Times New Roman"/>
          <w:i/>
          <w:iCs/>
          <w:sz w:val="24"/>
          <w:szCs w:val="24"/>
        </w:rPr>
        <w:t xml:space="preserve">Estimated Team Strength Parameters for the 2020-21 Season Simulation</w:t>
      </w:r>
    </w:p>
    <w:p>
      <w:pPr>
        <w:spacing w:line="360"/>
      </w:pPr>
    </w:p>
    <w:tbl>
      <w:tblPr>
        <w:tblW w:type="dxa" w:w="7220"/>
        <w:tblBorders>
          <w:top w:val="none" w:color="FFFFFF" w:sz="0"/>
          <w:left w:val="none" w:color="FFFFFF" w:sz="0"/>
          <w:bottom w:val="none" w:color="FFFFFF" w:sz="0"/>
          <w:right w:val="none" w:color="FFFFFF" w:sz="0"/>
          <w:insideH w:val="single" w:color="auto" w:sz="4"/>
          <w:insideV w:val="single" w:color="auto" w:sz="4"/>
        </w:tblBorders>
      </w:tblPr>
      <w:tblGrid>
        <w:gridCol w:w="2900"/>
        <w:gridCol w:w="1400"/>
        <w:gridCol w:w="1400"/>
        <w:gridCol w:w="1520"/>
      </w:tblGrid>
      <w:tr>
        <w:trPr>
          <w:tblHeader/>
        </w:trPr>
        <w:tc>
          <w:tcPr>
            <w:tcW w:type="dxa" w:w="29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Club</w:t>
            </w:r>
          </w:p>
        </w:tc>
        <w:tc>
          <w:tcPr>
            <w:tcW w:type="dxa" w:w="14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AvgAttack (λ)</w:t>
            </w:r>
          </w:p>
        </w:tc>
        <w:tc>
          <w:tcPr>
            <w:tcW w:type="dxa" w:w="14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AvgDefense</w:t>
            </w:r>
          </w:p>
        </w:tc>
        <w:tc>
          <w:tcPr>
            <w:tcW w:type="dxa" w:w="152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Red Card Rate</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Manchester City</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2.849</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0.953</w:t>
            </w:r>
          </w:p>
        </w:tc>
        <w:tc>
          <w:tcPr>
            <w:tcW w:type="dxa" w:w="1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0.067</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Liverpool</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2.224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0.920</w:t>
            </w:r>
          </w:p>
        </w:tc>
        <w:tc>
          <w:tcPr>
            <w:tcW w:type="dxa" w:w="1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0.065</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Tottenham Hotspur</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1.967</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0.944</w:t>
            </w:r>
          </w:p>
        </w:tc>
        <w:tc>
          <w:tcPr>
            <w:tcW w:type="dxa" w:w="1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0.061</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Arsenal</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1.714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1.169</w:t>
            </w:r>
          </w:p>
        </w:tc>
        <w:tc>
          <w:tcPr>
            <w:tcW w:type="dxa" w:w="1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0.107</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Everton</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1.678</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1.307</w:t>
            </w:r>
          </w:p>
        </w:tc>
        <w:tc>
          <w:tcPr>
            <w:tcW w:type="dxa" w:w="1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0.049</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Leicester City</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1.562</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1.058</w:t>
            </w:r>
          </w:p>
        </w:tc>
        <w:tc>
          <w:tcPr>
            <w:tcW w:type="dxa" w:w="1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0.114</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Chelsea</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1.344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1.008</w:t>
            </w:r>
          </w:p>
        </w:tc>
        <w:tc>
          <w:tcPr>
            <w:tcW w:type="dxa" w:w="1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0.058</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Newcastle United</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1.335</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1.151</w:t>
            </w:r>
          </w:p>
        </w:tc>
        <w:tc>
          <w:tcPr>
            <w:tcW w:type="dxa" w:w="1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0.108</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Manchester United</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1.312</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0.916</w:t>
            </w:r>
          </w:p>
        </w:tc>
        <w:tc>
          <w:tcPr>
            <w:tcW w:type="dxa" w:w="1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0.064</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Southampton</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1.275</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1.200</w:t>
            </w:r>
          </w:p>
        </w:tc>
        <w:tc>
          <w:tcPr>
            <w:tcW w:type="dxa" w:w="1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0.065</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Fulham</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1.271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0.768</w:t>
            </w:r>
          </w:p>
        </w:tc>
        <w:tc>
          <w:tcPr>
            <w:tcW w:type="dxa" w:w="1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0.123</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Leeds United</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1.142</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1.400</w:t>
            </w:r>
          </w:p>
        </w:tc>
        <w:tc>
          <w:tcPr>
            <w:tcW w:type="dxa" w:w="1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0.028</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Wolverhampton Wanderers</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1.136</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1.165</w:t>
            </w:r>
          </w:p>
        </w:tc>
        <w:tc>
          <w:tcPr>
            <w:tcW w:type="dxa" w:w="1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0.069</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Crystal Palace</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1.133</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1.225</w:t>
            </w:r>
          </w:p>
        </w:tc>
        <w:tc>
          <w:tcPr>
            <w:tcW w:type="dxa" w:w="1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0.059</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Burnley</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1.090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1.052</w:t>
            </w:r>
          </w:p>
        </w:tc>
        <w:tc>
          <w:tcPr>
            <w:tcW w:type="dxa" w:w="1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0.033</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West Ham United</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1.060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1.115</w:t>
            </w:r>
          </w:p>
        </w:tc>
        <w:tc>
          <w:tcPr>
            <w:tcW w:type="dxa" w:w="1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0.084</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West Bromwich Albion</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1.058</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1.748</w:t>
            </w:r>
          </w:p>
        </w:tc>
        <w:tc>
          <w:tcPr>
            <w:tcW w:type="dxa" w:w="1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0.103</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Brighton &amp; Hove Albion</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1.007</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1.294</w:t>
            </w:r>
          </w:p>
        </w:tc>
        <w:tc>
          <w:tcPr>
            <w:tcW w:type="dxa" w:w="1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0.067</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Sheffield United</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0.554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1.503</w:t>
            </w:r>
          </w:p>
        </w:tc>
        <w:tc>
          <w:tcPr>
            <w:tcW w:type="dxa" w:w="1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0.084</w:t>
            </w:r>
          </w:p>
        </w:tc>
      </w:tr>
      <w:tr>
        <w:tc>
          <w:tcPr>
            <w:tcW w:type="dxa" w:w="29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Aston Villa</w:t>
            </w:r>
          </w:p>
        </w:tc>
        <w:tc>
          <w:tcPr>
            <w:tcW w:type="dxa" w:w="14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0.492</w:t>
            </w:r>
          </w:p>
        </w:tc>
        <w:tc>
          <w:tcPr>
            <w:tcW w:type="dxa" w:w="14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1.114</w:t>
            </w:r>
          </w:p>
        </w:tc>
        <w:tc>
          <w:tcPr>
            <w:tcW w:type="dxa" w:w="152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0.032</w:t>
            </w:r>
          </w:p>
        </w:tc>
      </w:tr>
    </w:tbl>
    <w:p>
      <w:pPr>
        <w:spacing w:line="240"/>
        <w:jc w:val="left"/>
      </w:pPr>
      <w:r>
        <w:rPr>
          <w:rFonts w:ascii="Times New Roman" w:cs="Times New Roman" w:eastAsia="Times New Roman" w:hAnsi="Times New Roman"/>
          <w:sz w:val="20"/>
          <w:szCs w:val="20"/>
        </w:rPr>
        <w:t xml:space="preserve">Note. Attack lambda shows expected goals per match against an average opponent on a neutral ground. Defence rating shows expected goals conceded per match. Red card rate is adjusted to the Premier League average of 0.0705 per team per match.</w:t>
      </w:r>
    </w:p>
    <w:p>
      <w:pPr>
        <w:spacing w:line="360"/>
      </w:pPr>
    </w:p>
    <w:p>
      <w:pPr>
        <w:spacing w:line="360" w:before="0" w:after="0"/>
        <w:jc w:val="left"/>
      </w:pPr>
      <w:r>
        <w:rPr>
          <w:rFonts w:ascii="Times New Roman" w:cs="Times New Roman" w:eastAsia="Times New Roman" w:hAnsi="Times New Roman"/>
          <w:b/>
          <w:bCs/>
          <w:sz w:val="24"/>
          <w:szCs w:val="24"/>
        </w:rPr>
        <w:t xml:space="preserve">Simulation Results</w:t>
      </w:r>
    </w:p>
    <w:p>
      <w:pPr>
        <w:spacing w:line="360"/>
      </w:pPr>
    </w:p>
    <w:p>
      <w:pPr>
        <w:spacing w:line="360" w:before="0" w:after="0"/>
        <w:ind w:firstLine="567"/>
        <w:jc w:val="both"/>
      </w:pPr>
      <w:r>
        <w:rPr>
          <w:rFonts w:ascii="Times New Roman" w:cs="Times New Roman" w:eastAsia="Times New Roman" w:hAnsi="Times New Roman"/>
          <w:sz w:val="24"/>
          <w:szCs w:val="24"/>
        </w:rPr>
        <w:t xml:space="preserve">Table 2 shows the key results from 1,000 simulated seasons for selected clubs. The standard deviation of final points is between 7.2 and 8.1 across all clubs. This range matches the natural variation seen in real Premier League seasons, which shows that the model's randomness is set at the right level. Manchester City wins the title in 50.6% of simulations, confirming them as the clear favourite. The three clubs with the highest relegation probabilities — Sheffield United (72.0%), West Brom (58.8%), and Aston Villa (48.9%) — are the same three clubs that were actually relegated in 2020-21. This is a strong result for the model.</w:t>
      </w:r>
    </w:p>
    <w:p>
      <w:pPr>
        <w:spacing w:line="360"/>
      </w:pPr>
    </w:p>
    <w:p>
      <w:pPr>
        <w:spacing w:line="360"/>
        <w:jc w:val="left"/>
      </w:pPr>
      <w:r>
        <w:rPr>
          <w:rFonts w:ascii="Times New Roman" w:cs="Times New Roman" w:eastAsia="Times New Roman" w:hAnsi="Times New Roman"/>
          <w:sz w:val="24"/>
          <w:szCs w:val="24"/>
        </w:rPr>
        <w:t xml:space="preserve">Table 2</w:t>
      </w:r>
    </w:p>
    <w:p>
      <w:pPr>
        <w:spacing w:line="360"/>
        <w:jc w:val="left"/>
      </w:pPr>
      <w:r>
        <w:rPr>
          <w:rFonts w:ascii="Times New Roman" w:cs="Times New Roman" w:eastAsia="Times New Roman" w:hAnsi="Times New Roman"/>
          <w:i/>
          <w:iCs/>
          <w:sz w:val="24"/>
          <w:szCs w:val="24"/>
        </w:rPr>
        <w:t xml:space="preserve">Monte Carlo Simulation Summary Statistics Across 1,000 Seasons (Selected Clubs)</w:t>
      </w:r>
    </w:p>
    <w:p>
      <w:pPr>
        <w:spacing w:line="360"/>
      </w:pPr>
    </w:p>
    <w:tbl>
      <w:tblPr>
        <w:tblW w:type="dxa" w:w="7420"/>
        <w:tblBorders>
          <w:top w:val="none" w:color="FFFFFF" w:sz="0"/>
          <w:left w:val="none" w:color="FFFFFF" w:sz="0"/>
          <w:bottom w:val="none" w:color="FFFFFF" w:sz="0"/>
          <w:right w:val="none" w:color="FFFFFF" w:sz="0"/>
          <w:insideH w:val="single" w:color="auto" w:sz="4"/>
          <w:insideV w:val="single" w:color="auto" w:sz="4"/>
        </w:tblBorders>
      </w:tblPr>
      <w:tblGrid>
        <w:gridCol w:w="2200"/>
        <w:gridCol w:w="1000"/>
        <w:gridCol w:w="900"/>
        <w:gridCol w:w="1100"/>
        <w:gridCol w:w="1100"/>
        <w:gridCol w:w="1120"/>
      </w:tblGrid>
      <w:tr>
        <w:trPr>
          <w:tblHeader/>
        </w:trPr>
        <w:tc>
          <w:tcPr>
            <w:tcW w:type="dxa" w:w="22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Club</w:t>
            </w:r>
          </w:p>
        </w:tc>
        <w:tc>
          <w:tcPr>
            <w:tcW w:type="dxa" w:w="10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Avg PTS</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SD</w:t>
            </w:r>
          </w:p>
        </w:tc>
        <w:tc>
          <w:tcPr>
            <w:tcW w:type="dxa" w:w="11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Champion %</w:t>
            </w:r>
          </w:p>
        </w:tc>
        <w:tc>
          <w:tcPr>
            <w:tcW w:type="dxa" w:w="11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Top-4 %</w:t>
            </w:r>
          </w:p>
        </w:tc>
        <w:tc>
          <w:tcPr>
            <w:tcW w:type="dxa" w:w="112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Relegated %</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Manchester City</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71.5</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7.97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50.6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89.6</w:t>
            </w:r>
          </w:p>
        </w:tc>
        <w:tc>
          <w:tcPr>
            <w:tcW w:type="dxa" w:w="1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0.0</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Liverpool</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66.8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7.86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25.0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75.9</w:t>
            </w:r>
          </w:p>
        </w:tc>
        <w:tc>
          <w:tcPr>
            <w:tcW w:type="dxa" w:w="1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0.1</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Tottenham Hotspur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63.7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7.86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12.0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64.2</w:t>
            </w:r>
          </w:p>
        </w:tc>
        <w:tc>
          <w:tcPr>
            <w:tcW w:type="dxa" w:w="1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0.2</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Arsenal</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56.4</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7.78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3.0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24.6</w:t>
            </w:r>
          </w:p>
        </w:tc>
        <w:tc>
          <w:tcPr>
            <w:tcW w:type="dxa" w:w="1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1.0</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Manchester United</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55.9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7.70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2.2</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22.8</w:t>
            </w:r>
          </w:p>
        </w:tc>
        <w:tc>
          <w:tcPr>
            <w:tcW w:type="dxa" w:w="1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1.3</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Leicester City</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55.7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8.05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2.0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23.8</w:t>
            </w:r>
          </w:p>
        </w:tc>
        <w:tc>
          <w:tcPr>
            <w:tcW w:type="dxa" w:w="1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3.0</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Everton</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53.9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1.2</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17.9</w:t>
            </w:r>
          </w:p>
        </w:tc>
        <w:tc>
          <w:tcPr>
            <w:tcW w:type="dxa" w:w="1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4.2</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Chelsea</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52.9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7.82</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0.9</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13.9</w:t>
            </w:r>
          </w:p>
        </w:tc>
        <w:tc>
          <w:tcPr>
            <w:tcW w:type="dxa" w:w="1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4.2</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Aston Villa</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40.2</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7.34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0.3</w:t>
            </w:r>
          </w:p>
        </w:tc>
        <w:tc>
          <w:tcPr>
            <w:tcW w:type="dxa" w:w="1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48.9</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West Brom Albion</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38.4</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7.58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0.5</w:t>
            </w:r>
          </w:p>
        </w:tc>
        <w:tc>
          <w:tcPr>
            <w:tcW w:type="dxa" w:w="1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58.8</w:t>
            </w:r>
          </w:p>
        </w:tc>
      </w:tr>
      <w:tr>
        <w:tc>
          <w:tcPr>
            <w:tcW w:type="dxa" w:w="22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Sheffield United</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35.9</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7.19</w:t>
            </w:r>
          </w:p>
        </w:tc>
        <w:tc>
          <w:tcPr>
            <w:tcW w:type="dxa" w:w="11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0.0</w:t>
            </w:r>
          </w:p>
        </w:tc>
        <w:tc>
          <w:tcPr>
            <w:tcW w:type="dxa" w:w="11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0.1</w:t>
            </w:r>
          </w:p>
        </w:tc>
        <w:tc>
          <w:tcPr>
            <w:tcW w:type="dxa" w:w="112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72.0</w:t>
            </w:r>
          </w:p>
        </w:tc>
      </w:tr>
    </w:tbl>
    <w:p>
      <w:pPr>
        <w:spacing w:line="240"/>
        <w:jc w:val="left"/>
      </w:pPr>
      <w:r>
        <w:rPr>
          <w:rFonts w:ascii="Times New Roman" w:cs="Times New Roman" w:eastAsia="Times New Roman" w:hAnsi="Times New Roman"/>
          <w:sz w:val="20"/>
          <w:szCs w:val="20"/>
        </w:rPr>
        <w:t xml:space="preserve">Note. SD = standard deviation of final points across 1,000 seasons. Champion %, Top-4 %, and Relegated % are probabilities calculated from the 1,000 simulated seasons. Full results for all 20 clubs are in simulation_summary.csv.</w:t>
      </w:r>
    </w:p>
    <w:p>
      <w:pPr>
        <w:spacing w:line="360"/>
      </w:pPr>
    </w:p>
    <w:p>
      <w:r>
        <w:br w:type="page"/>
      </w:r>
    </w:p>
    <w:p>
      <w:pPr>
        <w:spacing w:line="360" w:before="0" w:after="0"/>
        <w:jc w:val="center"/>
      </w:pPr>
      <w:r>
        <w:rPr>
          <w:rFonts w:ascii="Times New Roman" w:cs="Times New Roman" w:eastAsia="Times New Roman" w:hAnsi="Times New Roman"/>
          <w:b/>
          <w:bCs/>
          <w:sz w:val="24"/>
          <w:szCs w:val="24"/>
        </w:rPr>
        <w:t xml:space="preserve">Discussion and Conclusions</w:t>
      </w:r>
    </w:p>
    <w:p>
      <w:pPr>
        <w:spacing w:line="360"/>
      </w:pPr>
    </w:p>
    <w:p>
      <w:pPr>
        <w:spacing w:line="360" w:before="0" w:after="0"/>
        <w:jc w:val="left"/>
      </w:pPr>
      <w:r>
        <w:rPr>
          <w:rFonts w:ascii="Times New Roman" w:cs="Times New Roman" w:eastAsia="Times New Roman" w:hAnsi="Times New Roman"/>
          <w:b/>
          <w:bCs/>
          <w:sz w:val="24"/>
          <w:szCs w:val="24"/>
        </w:rPr>
        <w:t xml:space="preserve">Comparing Results With the 2020-21 Season</w:t>
      </w:r>
    </w:p>
    <w:p>
      <w:pPr>
        <w:spacing w:line="360"/>
      </w:pPr>
    </w:p>
    <w:p>
      <w:pPr>
        <w:spacing w:line="360" w:before="0" w:after="0"/>
        <w:ind w:firstLine="567"/>
        <w:jc w:val="both"/>
      </w:pPr>
      <w:r>
        <w:rPr>
          <w:rFonts w:ascii="Times New Roman" w:cs="Times New Roman" w:eastAsia="Times New Roman" w:hAnsi="Times New Roman"/>
          <w:sz w:val="24"/>
          <w:szCs w:val="24"/>
        </w:rPr>
        <w:t xml:space="preserve">The model's predictions are compared with the actual final points for each club in the 2020-21 Premier League season. It is important to remember that this comparison tests how well the September 2020 data snapshot represents reality, not whether the model could have predicted the season in real time. The dataset does not include transfers, injuries, or form changes that happened during the season. Table 3 shows the full comparison.</w:t>
      </w:r>
    </w:p>
    <w:p>
      <w:pPr>
        <w:spacing w:line="360"/>
      </w:pPr>
    </w:p>
    <w:p>
      <w:pPr>
        <w:spacing w:line="360"/>
        <w:jc w:val="left"/>
      </w:pPr>
      <w:r>
        <w:rPr>
          <w:rFonts w:ascii="Times New Roman" w:cs="Times New Roman" w:eastAsia="Times New Roman" w:hAnsi="Times New Roman"/>
          <w:sz w:val="24"/>
          <w:szCs w:val="24"/>
        </w:rPr>
        <w:t xml:space="preserve">Table 3</w:t>
      </w:r>
    </w:p>
    <w:p>
      <w:pPr>
        <w:spacing w:line="360"/>
        <w:jc w:val="left"/>
      </w:pPr>
      <w:r>
        <w:rPr>
          <w:rFonts w:ascii="Times New Roman" w:cs="Times New Roman" w:eastAsia="Times New Roman" w:hAnsi="Times New Roman"/>
          <w:i/>
          <w:iCs/>
          <w:sz w:val="24"/>
          <w:szCs w:val="24"/>
        </w:rPr>
        <w:t xml:space="preserve">Backtesting: Simulated Mean Points Against Actual 2020-21 Final Points</w:t>
      </w:r>
    </w:p>
    <w:p>
      <w:pPr>
        <w:spacing w:line="360"/>
      </w:pPr>
    </w:p>
    <w:tbl>
      <w:tblPr>
        <w:tblW w:type="dxa" w:w="7100"/>
        <w:tblBorders>
          <w:top w:val="none" w:color="FFFFFF" w:sz="0"/>
          <w:left w:val="none" w:color="FFFFFF" w:sz="0"/>
          <w:bottom w:val="none" w:color="FFFFFF" w:sz="0"/>
          <w:right w:val="none" w:color="FFFFFF" w:sz="0"/>
          <w:insideH w:val="single" w:color="auto" w:sz="4"/>
          <w:insideV w:val="single" w:color="auto" w:sz="4"/>
        </w:tblBorders>
      </w:tblPr>
      <w:tblGrid>
        <w:gridCol w:w="2400"/>
        <w:gridCol w:w="1200"/>
        <w:gridCol w:w="1500"/>
        <w:gridCol w:w="2000"/>
      </w:tblGrid>
      <w:tr>
        <w:trPr>
          <w:tblHeader/>
        </w:trPr>
        <w:tc>
          <w:tcPr>
            <w:tcW w:type="dxa" w:w="24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Club</w:t>
            </w:r>
          </w:p>
        </w:tc>
        <w:tc>
          <w:tcPr>
            <w:tcW w:type="dxa" w:w="12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Actual PTS</w:t>
            </w:r>
          </w:p>
        </w:tc>
        <w:tc>
          <w:tcPr>
            <w:tcW w:type="dxa" w:w="15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Simulated PTS</w:t>
            </w:r>
          </w:p>
        </w:tc>
        <w:tc>
          <w:tcPr>
            <w:tcW w:type="dxa" w:w="20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Error (Sim − Actual)</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Manchester City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86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71.5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−14.5</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Manchester United</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74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55.9</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−18.1</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Liverpool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69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66.8</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−2.2</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Chelsea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67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52.9</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−14.1</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Leicester City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66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55.7</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−10.3</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West Ham United</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65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49.4</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−15.6</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Tottenham Hotspur</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62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63.7</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+1.7</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Arsenal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61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56.4</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−4.6</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Leeds United</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59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46.2</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−12.8</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Everton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59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53.9</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−5.1</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Aston Villa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55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40.2</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−14.8</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Newcastle United</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45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50.6</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+5.6</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Wolves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45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49.7</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+4.7</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Crystal Palace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44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48.2</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+4.1</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Southampton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43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50.2</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+7.2</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Brighton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41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45.4</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+4.4</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Burnley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39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50.5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+11.5</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Fulham</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28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54.1</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+26.1</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West Brom</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26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38.4</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+12.4</w:t>
            </w:r>
          </w:p>
        </w:tc>
      </w:tr>
      <w:tr>
        <w:tc>
          <w:tcPr>
            <w:tcW w:type="dxa" w:w="24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Sheffield United</w:t>
            </w:r>
          </w:p>
        </w:tc>
        <w:tc>
          <w:tcPr>
            <w:tcW w:type="dxa" w:w="12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23</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35.9</w:t>
            </w:r>
          </w:p>
        </w:tc>
        <w:tc>
          <w:tcPr>
            <w:tcW w:type="dxa" w:w="20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+12.9</w:t>
            </w:r>
          </w:p>
        </w:tc>
      </w:tr>
    </w:tbl>
    <w:p>
      <w:pPr>
        <w:spacing w:line="240"/>
        <w:jc w:val="left"/>
      </w:pPr>
      <w:r>
        <w:rPr>
          <w:rFonts w:ascii="Times New Roman" w:cs="Times New Roman" w:eastAsia="Times New Roman" w:hAnsi="Times New Roman"/>
          <w:sz w:val="20"/>
          <w:szCs w:val="20"/>
        </w:rPr>
        <w:t xml:space="preserve">Note. Error = simulated mean points minus actual points. A positive error means the model predicted too many points; a negative error means it predicted too few.</w:t>
      </w:r>
    </w:p>
    <w:p>
      <w:pPr>
        <w:spacing w:line="360"/>
      </w:pPr>
    </w:p>
    <w:p>
      <w:pPr>
        <w:spacing w:line="360" w:before="0" w:after="0"/>
        <w:ind w:firstLine="567"/>
        <w:jc w:val="both"/>
      </w:pPr>
      <w:r>
        <w:rPr>
          <w:rFonts w:ascii="Times New Roman" w:cs="Times New Roman" w:eastAsia="Times New Roman" w:hAnsi="Times New Roman"/>
          <w:sz w:val="24"/>
          <w:szCs w:val="24"/>
        </w:rPr>
        <w:t xml:space="preserve">The overall RMSE of 11.83 points and MAE of 10.14 points are within the expected range of 8 to 14 points for Poisson-based football models (Dixon &amp; Coles, 1997). The overall bias of approximately −1.08 points shows a very small tendency to predict slightly fewer points than the actual results. These numbers confirm that the model is reasonably well-calibrated, given that it works only from a pre-season data snapshot.</w:t>
      </w:r>
    </w:p>
    <w:p>
      <w:pPr>
        <w:spacing w:line="360"/>
      </w:pPr>
    </w:p>
    <w:p>
      <w:pPr>
        <w:spacing w:line="360" w:before="0" w:after="0"/>
        <w:ind w:firstLine="567"/>
        <w:jc w:val="both"/>
      </w:pPr>
      <w:r>
        <w:rPr>
          <w:rFonts w:ascii="Times New Roman" w:cs="Times New Roman" w:eastAsia="Times New Roman" w:hAnsi="Times New Roman"/>
          <w:sz w:val="24"/>
          <w:szCs w:val="24"/>
        </w:rPr>
        <w:t xml:space="preserve">Looking at individual clubs, some clear patterns appear. West Ham United (actual: 65, simulated: 49.4; error: −15.6), Manchester United (actual: 74, simulated: 55.9; error: −18.1), and Leeds United (actual: 59, simulated: 46.2; error: −12.8) all did much better than the model expected. These clubs benefited from coaching systems that produced team performances above what individual career statistics would suggest. David Moyes at West Ham and Ole Gunnar Solskjaer at Manchester United are examples of managers whose tactical setups created value that is not visible in player statistics.</w:t>
      </w:r>
    </w:p>
    <w:p>
      <w:pPr>
        <w:spacing w:line="360"/>
      </w:pPr>
    </w:p>
    <w:p>
      <w:pPr>
        <w:spacing w:line="360" w:before="0" w:after="0"/>
        <w:jc w:val="left"/>
      </w:pPr>
      <w:r>
        <w:rPr>
          <w:rFonts w:ascii="Times New Roman" w:cs="Times New Roman" w:eastAsia="Times New Roman" w:hAnsi="Times New Roman"/>
          <w:b/>
          <w:bCs/>
          <w:sz w:val="24"/>
          <w:szCs w:val="24"/>
        </w:rPr>
        <w:t xml:space="preserve">Probability Accuracy: Brier Scores</w:t>
      </w:r>
    </w:p>
    <w:p>
      <w:pPr>
        <w:spacing w:line="360"/>
      </w:pPr>
    </w:p>
    <w:p>
      <w:pPr>
        <w:spacing w:line="360" w:before="0" w:after="0"/>
        <w:ind w:firstLine="567"/>
        <w:jc w:val="both"/>
      </w:pPr>
      <w:r>
        <w:rPr>
          <w:rFonts w:ascii="Times New Roman" w:cs="Times New Roman" w:eastAsia="Times New Roman" w:hAnsi="Times New Roman"/>
          <w:sz w:val="24"/>
          <w:szCs w:val="24"/>
        </w:rPr>
        <w:t xml:space="preserve">Table 4 shows the probability accuracy results for the three outcome categories. The Brier Score measures how close the predicted probabilities were to the actual results, on a scale from 0 (perfect) to 1 (worst possible). The Brier Skill Score (BSS) compares the model to a simple baseline that gives every team an equal chance. A positive BSS means the model did better than this baseline.</w:t>
      </w:r>
    </w:p>
    <w:p>
      <w:pPr>
        <w:spacing w:line="360"/>
      </w:pPr>
    </w:p>
    <w:p>
      <w:pPr>
        <w:spacing w:line="360"/>
        <w:jc w:val="left"/>
      </w:pPr>
      <w:r>
        <w:rPr>
          <w:rFonts w:ascii="Times New Roman" w:cs="Times New Roman" w:eastAsia="Times New Roman" w:hAnsi="Times New Roman"/>
          <w:sz w:val="24"/>
          <w:szCs w:val="24"/>
        </w:rPr>
        <w:t xml:space="preserve">Table 4</w:t>
      </w:r>
    </w:p>
    <w:p>
      <w:pPr>
        <w:spacing w:line="360"/>
        <w:jc w:val="left"/>
      </w:pPr>
      <w:r>
        <w:rPr>
          <w:rFonts w:ascii="Times New Roman" w:cs="Times New Roman" w:eastAsia="Times New Roman" w:hAnsi="Times New Roman"/>
          <w:i/>
          <w:iCs/>
          <w:sz w:val="24"/>
          <w:szCs w:val="24"/>
        </w:rPr>
        <w:t xml:space="preserve">Brier Score, Brier Skill Score, and Log Loss for Categorical Outcome Predictions</w:t>
      </w:r>
    </w:p>
    <w:p>
      <w:pPr>
        <w:spacing w:line="360"/>
      </w:pPr>
    </w:p>
    <w:tbl>
      <w:tblPr>
        <w:tblW w:type="dxa" w:w="7620"/>
        <w:tblBorders>
          <w:top w:val="none" w:color="FFFFFF" w:sz="0"/>
          <w:left w:val="none" w:color="FFFFFF" w:sz="0"/>
          <w:bottom w:val="none" w:color="FFFFFF" w:sz="0"/>
          <w:right w:val="none" w:color="FFFFFF" w:sz="0"/>
          <w:insideH w:val="single" w:color="auto" w:sz="4"/>
          <w:insideV w:val="single" w:color="auto" w:sz="4"/>
        </w:tblBorders>
      </w:tblPr>
      <w:tblGrid>
        <w:gridCol w:w="1500"/>
        <w:gridCol w:w="1200"/>
        <w:gridCol w:w="1500"/>
        <w:gridCol w:w="1200"/>
        <w:gridCol w:w="2220"/>
      </w:tblGrid>
      <w:tr>
        <w:trPr>
          <w:tblHeader/>
        </w:trPr>
        <w:tc>
          <w:tcPr>
            <w:tcW w:type="dxa" w:w="15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Category</w:t>
            </w:r>
          </w:p>
        </w:tc>
        <w:tc>
          <w:tcPr>
            <w:tcW w:type="dxa" w:w="12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Brier Score</w:t>
            </w:r>
          </w:p>
        </w:tc>
        <w:tc>
          <w:tcPr>
            <w:tcW w:type="dxa" w:w="15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Brier Skill Score</w:t>
            </w:r>
          </w:p>
        </w:tc>
        <w:tc>
          <w:tcPr>
            <w:tcW w:type="dxa" w:w="12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Log Loss</w:t>
            </w:r>
          </w:p>
        </w:tc>
        <w:tc>
          <w:tcPr>
            <w:tcW w:type="dxa" w:w="222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Interpretation</w:t>
            </w:r>
          </w:p>
        </w:tc>
      </w:tr>
      <w:t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Championship</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0.0162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+0.660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0.061</w:t>
            </w:r>
          </w:p>
        </w:tc>
        <w:tc>
          <w:tcPr>
            <w:tcW w:type="dxa" w:w="2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Excellent calibration</w:t>
            </w:r>
          </w:p>
        </w:tc>
      </w:tr>
      <w:t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Top-4 (UCL)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0.1015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+0.366</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0.316</w:t>
            </w:r>
          </w:p>
        </w:tc>
        <w:tc>
          <w:tcPr>
            <w:tcW w:type="dxa" w:w="22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Good calibration</w:t>
            </w:r>
          </w:p>
        </w:tc>
      </w:tr>
      <w:tr>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0"/>
                <w:szCs w:val="20"/>
              </w:rPr>
              <w:t xml:space="preserve">Relegation</w:t>
            </w:r>
          </w:p>
        </w:tc>
        <w:tc>
          <w:tcPr>
            <w:tcW w:type="dxa" w:w="12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0.0797</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+0.375</w:t>
            </w:r>
          </w:p>
        </w:tc>
        <w:tc>
          <w:tcPr>
            <w:tcW w:type="dxa" w:w="12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0.317</w:t>
            </w:r>
          </w:p>
        </w:tc>
        <w:tc>
          <w:tcPr>
            <w:tcW w:type="dxa" w:w="222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sz w:val="20"/>
                <w:szCs w:val="20"/>
              </w:rPr>
              <w:t xml:space="preserve">Good calibration</w:t>
            </w:r>
          </w:p>
        </w:tc>
      </w:tr>
    </w:tbl>
    <w:p>
      <w:pPr>
        <w:spacing w:line="240"/>
        <w:jc w:val="left"/>
      </w:pPr>
      <w:r>
        <w:rPr>
          <w:rFonts w:ascii="Times New Roman" w:cs="Times New Roman" w:eastAsia="Times New Roman" w:hAnsi="Times New Roman"/>
          <w:sz w:val="20"/>
          <w:szCs w:val="20"/>
        </w:rPr>
        <w:t xml:space="preserve">Note. Brier Score: 0 = perfect, 1 = worst possible. Brier Skill Score: a positive number means the model beats the equal-probability baseline. Log Loss penalises confident wrong predictions more heavily. Reference categories: Title (1 of 20 teams); Top-4 (4 of 20); Relegation (3 of 20).</w:t>
      </w:r>
    </w:p>
    <w:p>
      <w:pPr>
        <w:spacing w:line="360"/>
      </w:pPr>
    </w:p>
    <w:p>
      <w:pPr>
        <w:spacing w:line="360" w:before="0" w:after="0"/>
        <w:ind w:firstLine="567"/>
        <w:jc w:val="both"/>
      </w:pPr>
      <w:r>
        <w:rPr>
          <w:rFonts w:ascii="Times New Roman" w:cs="Times New Roman" w:eastAsia="Times New Roman" w:hAnsi="Times New Roman"/>
          <w:sz w:val="24"/>
          <w:szCs w:val="24"/>
        </w:rPr>
        <w:t xml:space="preserve">All three Brier Skill Scores are clearly above zero, which means the model is better than the baseline for all three outcomes. The title BSS of 0.660 is a particularly good result: the model gave Manchester City — the actual champions — a 50.6% chance of winning the title, compared to the equal-probability baseline of just 5.0%. The Top-4 and relegation BSS values of around 0.37 show good accuracy for outcomes that are harder to predict because more teams are involved. The Log Loss values are consistent with the Brier Scores: very low for the title (0.061) and moderate for the Top-4 and relegation (0.316–0.317).</w:t>
      </w:r>
    </w:p>
    <w:p>
      <w:pPr>
        <w:spacing w:line="360"/>
      </w:pPr>
    </w:p>
    <w:p>
      <w:pPr>
        <w:spacing w:line="360" w:before="0" w:after="0"/>
        <w:jc w:val="left"/>
      </w:pPr>
      <w:r>
        <w:rPr>
          <w:rFonts w:ascii="Times New Roman" w:cs="Times New Roman" w:eastAsia="Times New Roman" w:hAnsi="Times New Roman"/>
          <w:b/>
          <w:bCs/>
          <w:sz w:val="24"/>
          <w:szCs w:val="24"/>
        </w:rPr>
        <w:t xml:space="preserve">Why Some Predictions Were Wrong</w:t>
      </w:r>
    </w:p>
    <w:p>
      <w:pPr>
        <w:spacing w:line="360"/>
      </w:pPr>
    </w:p>
    <w:p>
      <w:pPr>
        <w:spacing w:line="360" w:before="0" w:after="0"/>
        <w:ind w:firstLine="567"/>
        <w:jc w:val="both"/>
      </w:pPr>
      <w:r>
        <w:rPr>
          <w:rFonts w:ascii="Times New Roman" w:cs="Times New Roman" w:eastAsia="Times New Roman" w:hAnsi="Times New Roman"/>
          <w:sz w:val="24"/>
          <w:szCs w:val="24"/>
        </w:rPr>
        <w:t xml:space="preserve">The largest prediction error is Fulham, which was given a mean of 54.1 simulated points but finished with only 28 in reality. This is a result of the career-based data structure. Fulham had just been promoted to the Premier League in 2020 and several of their players had built up their career statistics at stronger clubs in previous seasons. The September 2020 snapshot includes those old statistics, but the model cannot tell whether they represent current ability or past performance at a different club. This is not a problem with the Poisson model itself, but with the fact that the pipeline uses career totals rather than recent form statistics.</w:t>
      </w:r>
    </w:p>
    <w:p>
      <w:pPr>
        <w:spacing w:line="360"/>
      </w:pPr>
    </w:p>
    <w:p>
      <w:pPr>
        <w:spacing w:line="360" w:before="0" w:after="0"/>
        <w:ind w:firstLine="567"/>
        <w:jc w:val="both"/>
      </w:pPr>
      <w:r>
        <w:rPr>
          <w:rFonts w:ascii="Times New Roman" w:cs="Times New Roman" w:eastAsia="Times New Roman" w:hAnsi="Times New Roman"/>
          <w:sz w:val="24"/>
          <w:szCs w:val="24"/>
        </w:rPr>
        <w:t xml:space="preserve">Burnley was given a mean of 50.5 points but recorded only 39. Burnley's physical and direct style of play, developed by manager Sean Dyche, tends to produce career statistics that look stronger in the model's attack calculations than the system actually delivers on the pitch. The 2020-21 season was also played without supporters, which research suggests has a larger effect on clubs that rely heavily on home crowd energy.</w:t>
      </w:r>
    </w:p>
    <w:p>
      <w:pPr>
        <w:spacing w:line="360"/>
      </w:pPr>
    </w:p>
    <w:p>
      <w:pPr>
        <w:spacing w:line="360" w:before="0" w:after="0"/>
        <w:jc w:val="left"/>
      </w:pPr>
      <w:r>
        <w:rPr>
          <w:rFonts w:ascii="Times New Roman" w:cs="Times New Roman" w:eastAsia="Times New Roman" w:hAnsi="Times New Roman"/>
          <w:b/>
          <w:bCs/>
          <w:sz w:val="24"/>
          <w:szCs w:val="24"/>
        </w:rPr>
        <w:t xml:space="preserve">Limitations</w:t>
      </w:r>
    </w:p>
    <w:p>
      <w:pPr>
        <w:spacing w:line="360"/>
      </w:pPr>
    </w:p>
    <w:p>
      <w:pPr>
        <w:spacing w:line="360" w:before="0" w:after="0"/>
        <w:ind w:firstLine="567"/>
        <w:jc w:val="both"/>
      </w:pPr>
      <w:r>
        <w:rPr>
          <w:rFonts w:ascii="Times New Roman" w:cs="Times New Roman" w:eastAsia="Times New Roman" w:hAnsi="Times New Roman"/>
          <w:sz w:val="24"/>
          <w:szCs w:val="24"/>
        </w:rPr>
        <w:t xml:space="preserve">There are four main limitations to note. First, the dataset uses career Premier League statistics rather than recent form. This can mix together performances from different clubs and time periods, which creates bias for clubs with recently changed squads or newly promoted sides. Second, the model does not update during the season, so transfers, injuries, and tactical changes that happen after September 2020 are not included. Third, the Poisson model assumes that goals scored by the home team and the away team are independent, which is a simplification. The Dixon-Coles low-score correction, which would improve accuracy for 0-0 and 1-0 results, is not applied. Fourth, the validation uses only 20 teams over one season. This is not enough data to draw strong statistical conclusions. The Brier Score results should be read as a rough check of calibration rather than a formal test.</w:t>
      </w:r>
    </w:p>
    <w:p>
      <w:pPr>
        <w:spacing w:line="360"/>
      </w:pPr>
    </w:p>
    <w:p>
      <w:pPr>
        <w:spacing w:line="360" w:before="0" w:after="0"/>
        <w:jc w:val="left"/>
      </w:pPr>
      <w:r>
        <w:rPr>
          <w:rFonts w:ascii="Times New Roman" w:cs="Times New Roman" w:eastAsia="Times New Roman" w:hAnsi="Times New Roman"/>
          <w:b/>
          <w:bCs/>
          <w:sz w:val="24"/>
          <w:szCs w:val="24"/>
        </w:rPr>
        <w:t xml:space="preserve">Conclusions and Future Work</w:t>
      </w:r>
    </w:p>
    <w:p>
      <w:pPr>
        <w:spacing w:line="360"/>
      </w:pPr>
    </w:p>
    <w:p>
      <w:pPr>
        <w:spacing w:line="360" w:before="0" w:after="0"/>
        <w:ind w:firstLine="567"/>
        <w:jc w:val="both"/>
      </w:pPr>
      <w:r>
        <w:rPr>
          <w:rFonts w:ascii="Times New Roman" w:cs="Times New Roman" w:eastAsia="Times New Roman" w:hAnsi="Times New Roman"/>
          <w:sz w:val="24"/>
          <w:szCs w:val="24"/>
        </w:rPr>
        <w:t xml:space="preserve">The model achieves its main goal: it produces useful probability estimates for Premier League season outcomes based on player career statistics. The use of per-appearance normalisation, age-decline adjustments, and a set of match-level adjustment factors all improve on a simple Poisson baseline, as shown by the positive Brier Skill Scores across all three outcome categories. The correct identification of all three relegated clubs is a meaningful result.</w:t>
      </w:r>
    </w:p>
    <w:p>
      <w:pPr>
        <w:spacing w:line="360"/>
      </w:pPr>
    </w:p>
    <w:p>
      <w:pPr>
        <w:spacing w:line="360" w:before="0" w:after="0"/>
        <w:ind w:firstLine="567"/>
        <w:jc w:val="both"/>
      </w:pPr>
      <w:r>
        <w:rPr>
          <w:rFonts w:ascii="Times New Roman" w:cs="Times New Roman" w:eastAsia="Times New Roman" w:hAnsi="Times New Roman"/>
          <w:sz w:val="24"/>
          <w:szCs w:val="24"/>
        </w:rPr>
        <w:t xml:space="preserve">Four improvements should be considered in future work. First, using statistics from the most recent one or two seasons — rather than full career totals — would reduce the problem of historical data from other clubs affecting current estimates. Second, adding a system that updates squad information during the season would allow transfers and injuries to be included. Third, applying the Dixon-Coles correction for low-scoring results would improve match-level predictions. Fourth, testing the model across several seasons and different leagues would give a more reliable picture of how well it works in general.</w:t>
      </w:r>
    </w:p>
    <w:p>
      <w:pPr>
        <w:spacing w:line="360"/>
      </w:pPr>
    </w:p>
    <w:p>
      <w:r>
        <w:br w:type="page"/>
      </w:r>
    </w:p>
    <w:p>
      <w:pPr>
        <w:spacing w:line="360" w:before="0" w:after="0"/>
        <w:jc w:val="center"/>
      </w:pPr>
      <w:r>
        <w:rPr>
          <w:rFonts w:ascii="Times New Roman" w:cs="Times New Roman" w:eastAsia="Times New Roman" w:hAnsi="Times New Roman"/>
          <w:b/>
          <w:bCs/>
          <w:sz w:val="24"/>
          <w:szCs w:val="24"/>
        </w:rPr>
        <w:t xml:space="preserve">References</w:t>
      </w:r>
    </w:p>
    <w:p>
      <w:pPr>
        <w:spacing w:line="360"/>
      </w:pPr>
    </w:p>
    <w:p>
      <w:pPr>
        <w:spacing w:line="360" w:before="0" w:after="0"/>
        <w:ind w:hanging="567"/>
        <w:jc w:val="both"/>
      </w:pPr>
      <w:r>
        <w:rPr>
          <w:rFonts w:ascii="Times New Roman" w:cs="Times New Roman" w:eastAsia="Times New Roman" w:hAnsi="Times New Roman"/>
          <w:sz w:val="24"/>
          <w:szCs w:val="24"/>
        </w:rPr>
        <w:t xml:space="preserve">Audas, R., Dobson, S., &amp; Goddard, J. (2002). The impact of managerial change on team performance in professional sports. Journal of Economics and Business, 54(6), 633–650.</w:t>
      </w:r>
    </w:p>
    <w:p>
      <w:pPr>
        <w:spacing w:line="360"/>
      </w:pPr>
    </w:p>
    <w:p>
      <w:pPr>
        <w:spacing w:line="360" w:before="0" w:after="0"/>
        <w:ind w:hanging="567"/>
        <w:jc w:val="both"/>
      </w:pPr>
      <w:r>
        <w:rPr>
          <w:rFonts w:ascii="Times New Roman" w:cs="Times New Roman" w:eastAsia="Times New Roman" w:hAnsi="Times New Roman"/>
          <w:sz w:val="24"/>
          <w:szCs w:val="24"/>
        </w:rPr>
        <w:t xml:space="preserve">Brier, G. W. (1950). Verification of forecasts expressed in terms of probability. Monthly Weather Review, 78(1), 1–3.</w:t>
      </w:r>
    </w:p>
    <w:p>
      <w:pPr>
        <w:spacing w:line="360"/>
      </w:pPr>
    </w:p>
    <w:p>
      <w:pPr>
        <w:spacing w:line="360" w:before="0" w:after="0"/>
        <w:ind w:hanging="567"/>
        <w:jc w:val="both"/>
      </w:pPr>
      <w:r>
        <w:rPr>
          <w:rFonts w:ascii="Times New Roman" w:cs="Times New Roman" w:eastAsia="Times New Roman" w:hAnsi="Times New Roman"/>
          <w:sz w:val="24"/>
          <w:szCs w:val="24"/>
        </w:rPr>
        <w:t xml:space="preserve">Carmichael, F., Thomas, D., &amp; Ward, R. (2001). Production and efficiency in association football. Journal of Sports Economics, 2(3), 228–243.</w:t>
      </w:r>
    </w:p>
    <w:p>
      <w:pPr>
        <w:spacing w:line="360"/>
      </w:pPr>
    </w:p>
    <w:p>
      <w:pPr>
        <w:spacing w:line="360" w:before="0" w:after="0"/>
        <w:ind w:hanging="567"/>
        <w:jc w:val="both"/>
      </w:pPr>
      <w:r>
        <w:rPr>
          <w:rFonts w:ascii="Times New Roman" w:cs="Times New Roman" w:eastAsia="Times New Roman" w:hAnsi="Times New Roman"/>
          <w:sz w:val="24"/>
          <w:szCs w:val="24"/>
        </w:rPr>
        <w:t xml:space="preserve">Cohen-Zada, D., Krumer, A., &amp; Shapir, O. M. (2017). Testing the effect of serve order in tennis tiebreak. Journal of Economic Behavior &amp; Organization, 146, 106–115.</w:t>
      </w:r>
    </w:p>
    <w:p>
      <w:pPr>
        <w:spacing w:line="360"/>
      </w:pPr>
    </w:p>
    <w:p>
      <w:pPr>
        <w:spacing w:line="360" w:before="0" w:after="0"/>
        <w:ind w:hanging="567"/>
        <w:jc w:val="both"/>
      </w:pPr>
      <w:r>
        <w:rPr>
          <w:rFonts w:ascii="Times New Roman" w:cs="Times New Roman" w:eastAsia="Times New Roman" w:hAnsi="Times New Roman"/>
          <w:sz w:val="24"/>
          <w:szCs w:val="24"/>
        </w:rPr>
        <w:t xml:space="preserve">Cumming, S. P., &amp; Ste-Marie, D. M. (2001). The cognitive and motivational effects of imagery training: A matter of perspective. The Sport Psychologist, 15(3), 276–288.</w:t>
      </w:r>
    </w:p>
    <w:p>
      <w:pPr>
        <w:spacing w:line="360"/>
      </w:pPr>
    </w:p>
    <w:p>
      <w:pPr>
        <w:spacing w:line="360" w:before="0" w:after="0"/>
        <w:ind w:hanging="567"/>
        <w:jc w:val="both"/>
      </w:pPr>
      <w:r>
        <w:rPr>
          <w:rFonts w:ascii="Times New Roman" w:cs="Times New Roman" w:eastAsia="Times New Roman" w:hAnsi="Times New Roman"/>
          <w:sz w:val="24"/>
          <w:szCs w:val="24"/>
        </w:rPr>
        <w:t xml:space="preserve">Červený, J., van Ours, J. C., &amp; van Tuijl, M. A. (2018). Effects of a red card on goal scoring in World Cup football matches. Empirical Economics, 55(4), 1979–2004.</w:t>
      </w:r>
    </w:p>
    <w:p>
      <w:pPr>
        <w:spacing w:line="360"/>
      </w:pPr>
    </w:p>
    <w:p>
      <w:pPr>
        <w:spacing w:line="360" w:before="0" w:after="0"/>
        <w:ind w:hanging="567"/>
        <w:jc w:val="both"/>
      </w:pPr>
      <w:r>
        <w:rPr>
          <w:rFonts w:ascii="Times New Roman" w:cs="Times New Roman" w:eastAsia="Times New Roman" w:hAnsi="Times New Roman"/>
          <w:sz w:val="24"/>
          <w:szCs w:val="24"/>
        </w:rPr>
        <w:t xml:space="preserve">Dawson, P., Dobson, S., &amp; Gerrard, B. (2000). Estimating coaching efficiency in professional team sports: Evidence from English association football. Scottish Journal of Political Economy, 47(4), 399–421.</w:t>
      </w:r>
    </w:p>
    <w:p>
      <w:pPr>
        <w:spacing w:line="360"/>
      </w:pPr>
    </w:p>
    <w:p>
      <w:pPr>
        <w:spacing w:line="360" w:before="0" w:after="0"/>
        <w:ind w:hanging="567"/>
        <w:jc w:val="both"/>
      </w:pPr>
      <w:r>
        <w:rPr>
          <w:rFonts w:ascii="Times New Roman" w:cs="Times New Roman" w:eastAsia="Times New Roman" w:hAnsi="Times New Roman"/>
          <w:sz w:val="24"/>
          <w:szCs w:val="24"/>
        </w:rPr>
        <w:t xml:space="preserve">Dendir, S. (2016). When do soccer players peak? A study on the career trajectory of players. Journal of Sports Analytics, 2(2), 89–105.</w:t>
      </w:r>
    </w:p>
    <w:p>
      <w:pPr>
        <w:spacing w:line="360"/>
      </w:pPr>
    </w:p>
    <w:p>
      <w:pPr>
        <w:spacing w:line="360" w:before="0" w:after="0"/>
        <w:ind w:hanging="567"/>
        <w:jc w:val="both"/>
      </w:pPr>
      <w:r>
        <w:rPr>
          <w:rFonts w:ascii="Times New Roman" w:cs="Times New Roman" w:eastAsia="Times New Roman" w:hAnsi="Times New Roman"/>
          <w:sz w:val="24"/>
          <w:szCs w:val="24"/>
        </w:rPr>
        <w:t xml:space="preserve">Dixon, M. J., &amp; Coles, S. G. (1997). Modelling association football scores and inefficiencies in the football betting market. Journal of the Royal Statistical Society: Series C (Applied Statistics), 46(2), 265–280.</w:t>
      </w:r>
    </w:p>
    <w:p>
      <w:pPr>
        <w:spacing w:line="360"/>
      </w:pPr>
    </w:p>
    <w:p>
      <w:pPr>
        <w:spacing w:line="360" w:before="0" w:after="0"/>
        <w:ind w:hanging="567"/>
        <w:jc w:val="both"/>
      </w:pPr>
      <w:r>
        <w:rPr>
          <w:rFonts w:ascii="Times New Roman" w:cs="Times New Roman" w:eastAsia="Times New Roman" w:hAnsi="Times New Roman"/>
          <w:sz w:val="24"/>
          <w:szCs w:val="24"/>
        </w:rPr>
        <w:t xml:space="preserve">Gilovich, T., Vallone, R., &amp; Tversky, A. (1985). The hot hand in basketball: On the misperception of random sequences. Cognitive Psychology, 17(3), 295–314.</w:t>
      </w:r>
    </w:p>
    <w:p>
      <w:pPr>
        <w:spacing w:line="360"/>
      </w:pPr>
    </w:p>
    <w:p>
      <w:pPr>
        <w:spacing w:line="360" w:before="0" w:after="0"/>
        <w:ind w:hanging="567"/>
        <w:jc w:val="both"/>
      </w:pPr>
      <w:r>
        <w:rPr>
          <w:rFonts w:ascii="Times New Roman" w:cs="Times New Roman" w:eastAsia="Times New Roman" w:hAnsi="Times New Roman"/>
          <w:sz w:val="24"/>
          <w:szCs w:val="24"/>
        </w:rPr>
        <w:t xml:space="preserve">Gneiting, T., &amp; Raftery, A. E. (2007). Strictly proper scoring rules, prediction, and estimation. Journal of the American Statistical Association, 102(477), 359–378.</w:t>
      </w:r>
    </w:p>
    <w:p>
      <w:pPr>
        <w:spacing w:line="360"/>
      </w:pPr>
    </w:p>
    <w:p>
      <w:pPr>
        <w:spacing w:line="360" w:before="0" w:after="0"/>
        <w:ind w:hanging="567"/>
        <w:jc w:val="both"/>
      </w:pPr>
      <w:r>
        <w:rPr>
          <w:rFonts w:ascii="Times New Roman" w:cs="Times New Roman" w:eastAsia="Times New Roman" w:hAnsi="Times New Roman"/>
          <w:sz w:val="24"/>
          <w:szCs w:val="24"/>
        </w:rPr>
        <w:t xml:space="preserve">Maher, M. J. (1982). Modelling association football scores. Statistica Neerlandica, 36(3), 109–118.</w:t>
      </w:r>
    </w:p>
    <w:p>
      <w:pPr>
        <w:spacing w:line="360"/>
      </w:pPr>
    </w:p>
    <w:p>
      <w:pPr>
        <w:spacing w:line="360" w:before="0" w:after="0"/>
        <w:ind w:hanging="567"/>
        <w:jc w:val="both"/>
      </w:pPr>
      <w:r>
        <w:rPr>
          <w:rFonts w:ascii="Times New Roman" w:cs="Times New Roman" w:eastAsia="Times New Roman" w:hAnsi="Times New Roman"/>
          <w:sz w:val="24"/>
          <w:szCs w:val="24"/>
        </w:rPr>
        <w:t xml:space="preserve">Miller, J. B., &amp; Sanjurjo, A. (2018). Surprised by the hot hand fallacy? A truth in the law of small numbers. Econometrica, 86(6), 2019–2047.</w:t>
      </w:r>
    </w:p>
    <w:p>
      <w:pPr>
        <w:spacing w:line="360"/>
      </w:pPr>
    </w:p>
    <w:p>
      <w:pPr>
        <w:spacing w:line="360" w:before="0" w:after="0"/>
        <w:ind w:hanging="567"/>
        <w:jc w:val="both"/>
      </w:pPr>
      <w:r>
        <w:rPr>
          <w:rFonts w:ascii="Times New Roman" w:cs="Times New Roman" w:eastAsia="Times New Roman" w:hAnsi="Times New Roman"/>
          <w:sz w:val="24"/>
          <w:szCs w:val="24"/>
        </w:rPr>
        <w:t xml:space="preserve">Nevill, A. M., &amp; Holder, R. L. (1999). Home advantage in sport: An overview of studies on the advantage of playing at home. Sports Medicine, 28(4), 221–236.</w:t>
      </w:r>
    </w:p>
    <w:p>
      <w:pPr>
        <w:spacing w:line="360"/>
      </w:pPr>
    </w:p>
    <w:p>
      <w:pPr>
        <w:spacing w:line="360" w:before="0" w:after="0"/>
        <w:ind w:hanging="567"/>
        <w:jc w:val="both"/>
      </w:pPr>
      <w:r>
        <w:rPr>
          <w:rFonts w:ascii="Times New Roman" w:cs="Times New Roman" w:eastAsia="Times New Roman" w:hAnsi="Times New Roman"/>
          <w:sz w:val="24"/>
          <w:szCs w:val="24"/>
        </w:rPr>
        <w:t xml:space="preserve">Titman, A. C., Costain, D. A., Ridall, P. G., &amp; Dixon, K. (2015). Joint modelling of goal and bookings in association football. Journal of the Royal Statistical Society: Series A (Statistics in Society), 178(3), 659–683.</w:t>
      </w:r>
    </w:p>
    <w:p>
      <w:pPr>
        <w:spacing w:line="360"/>
      </w:pPr>
    </w:p>
    <w:sectPr>
      <w:footerReference w:type="default" r:id="rId6"/>
      <w:pgSz w:w="11906" w:h="16838" w:orient="portrait"/>
      <w:pgMar w:top="1418" w:right="1418" w:bottom="141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line="360"/>
        <w:ind w:left="1134" w:hanging="567"/>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2026-03-14T14:32:02.299Z</dcterms:created>
  <dcterms:modified xsi:type="dcterms:W3CDTF">2026-03-14T14:32:02.300Z</dcterms:modified>
</cp:coreProperties>
</file>

<file path=docProps/custom.xml><?xml version="1.0" encoding="utf-8"?>
<Properties xmlns="http://schemas.openxmlformats.org/officeDocument/2006/custom-properties" xmlns:vt="http://schemas.openxmlformats.org/officeDocument/2006/docPropsVTypes"/>
</file>