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jc w:val="center"/>
      </w:pPr>
      <w:r>
        <w:rPr>
          <w:rFonts w:ascii="仿宋_GB2312" w:hAnsi="仿宋_GB2312" w:eastAsia="仿宋_GB2312"/>
          <w:b/>
          <w:sz w:val="32"/>
        </w:rPr>
        <w:t>静宁县行政许可程序管理办法</w:t>
      </w:r>
    </w:p>
    <w:p>
      <w:pPr>
        <w:spacing w:before="0" w:after="0"/>
        <w:jc w:val="center"/>
      </w:pPr>
      <w:r>
        <w:rPr>
          <w:rFonts w:ascii="仿宋_GB2312" w:hAnsi="仿宋_GB2312" w:eastAsia="仿宋_GB2312"/>
          <w:b w:val="0"/>
          <w:color w:val="CC0000"/>
          <w:sz w:val="28"/>
        </w:rPr>
        <w:t>静政发〔2025〕8号</w:t>
      </w:r>
    </w:p>
    <w:p>
      <w:pPr>
        <w:spacing w:before="120" w:after="0"/>
        <w:jc w:val="center"/>
      </w:pPr>
      <w:r>
        <w:rPr>
          <w:rFonts w:ascii="仿宋_GB2312" w:hAnsi="仿宋_GB2312" w:eastAsia="仿宋_GB2312"/>
          <w:b/>
          <w:sz w:val="32"/>
        </w:rPr>
        <w:t>第一章 总则</w:t>
      </w:r>
    </w:p>
    <w:p>
      <w:pPr>
        <w:spacing w:before="0" w:after="0" w:lineRule="auto" w:line="360"/>
        <w:jc w:val="left"/>
      </w:pPr>
      <w:r>
        <w:rPr>
          <w:rFonts w:ascii="仿宋_GB2312" w:hAnsi="仿宋_GB2312" w:eastAsia="仿宋_GB2312"/>
          <w:b/>
          <w:sz w:val="28"/>
        </w:rPr>
        <w:t>第一条 为规范行政许可行为，保护公民、法人和其他组织的合法权益，根据《中华人民共和国行政许可法》《甘肃省行政许可条例》及有关法律、法规，结合本县实际，制定本办法。</w:t>
      </w:r>
    </w:p>
    <w:p>
      <w:pPr>
        <w:spacing w:before="0" w:after="0" w:lineRule="auto" w:line="360"/>
        <w:jc w:val="left"/>
      </w:pPr>
      <w:r>
        <w:rPr>
          <w:rFonts w:ascii="仿宋_GB2312" w:hAnsi="仿宋_GB2312" w:eastAsia="仿宋_GB2312"/>
          <w:b/>
          <w:sz w:val="28"/>
        </w:rPr>
        <w:t>第二条 本县行政机关实施行政许可，须遵守本办法。法律、法规另有规定的，从其规定。</w:t>
      </w:r>
    </w:p>
    <w:p>
      <w:pPr>
        <w:spacing w:before="0" w:after="0" w:lineRule="auto" w:line="360"/>
        <w:jc w:val="left"/>
      </w:pPr>
      <w:r>
        <w:rPr>
          <w:rFonts w:ascii="仿宋_GB2312" w:hAnsi="仿宋_GB2312" w:eastAsia="仿宋_GB2312"/>
          <w:b/>
          <w:sz w:val="28"/>
        </w:rPr>
        <w:t>第三条 本办法所称行政许可，是指行政机关根据公民、法人或者其他组织的申请，经依法审查，准予其从事特定活动的行为。</w:t>
      </w:r>
    </w:p>
    <w:p>
      <w:pPr>
        <w:spacing w:before="0" w:after="0" w:lineRule="auto" w:line="360"/>
        <w:jc w:val="left"/>
      </w:pPr>
      <w:r>
        <w:rPr>
          <w:rFonts w:ascii="仿宋_GB2312" w:hAnsi="仿宋_GB2312" w:eastAsia="仿宋_GB2312"/>
          <w:b/>
          <w:sz w:val="28"/>
        </w:rPr>
        <w:t>第四条 行政许可的实施应当遵循下列原则：</w:t>
      </w:r>
    </w:p>
    <w:p>
      <w:pPr>
        <w:spacing w:before="60" w:after="40"/>
        <w:jc w:val="left"/>
      </w:pPr>
      <w:r>
        <w:rPr>
          <w:rFonts w:ascii="仿宋_GB2312" w:hAnsi="仿宋_GB2312" w:eastAsia="仿宋_GB2312"/>
          <w:b/>
          <w:sz w:val="28"/>
        </w:rPr>
        <w:t>（一）合法原则：行政许可的设定和实施，必须依照法定的权限、范围、条件和程序。</w:t>
      </w:r>
    </w:p>
    <w:p>
      <w:pPr>
        <w:spacing w:before="60" w:after="40"/>
        <w:jc w:val="left"/>
      </w:pPr>
      <w:r>
        <w:rPr>
          <w:rFonts w:ascii="仿宋_GB2312" w:hAnsi="仿宋_GB2312" w:eastAsia="仿宋_GB2312"/>
          <w:b/>
          <w:sz w:val="28"/>
        </w:rPr>
        <w:t>（二）公开原则：行政许可的事项、条件、数量、程序、期限以及需要提交的全部材料的目录，应当在实施机关的办公场所和互联网上公示。</w:t>
      </w:r>
    </w:p>
    <w:p>
      <w:pPr>
        <w:spacing w:before="60" w:after="40"/>
        <w:jc w:val="left"/>
      </w:pPr>
      <w:r>
        <w:rPr>
          <w:rFonts w:ascii="仿宋_GB2312" w:hAnsi="仿宋_GB2312" w:eastAsia="仿宋_GB2312"/>
          <w:b/>
          <w:sz w:val="28"/>
        </w:rPr>
        <w:t>（三）公平、公正原则：对符合法定条件、标准的申请人，行政机关应当依法平等地予以行政许可。</w:t>
      </w:r>
    </w:p>
    <w:p>
      <w:pPr>
        <w:spacing w:before="60" w:after="40"/>
        <w:jc w:val="left"/>
      </w:pPr>
      <w:r>
        <w:rPr>
          <w:rFonts w:ascii="仿宋_GB2312" w:hAnsi="仿宋_GB2312" w:eastAsia="仿宋_GB2312"/>
          <w:b/>
          <w:sz w:val="28"/>
        </w:rPr>
        <w:t>（四）便民原则：行政机关在实施行政许可过程中，应当减少环节，降低成本，提高服务水平，提供便民服务。</w:t>
      </w:r>
    </w:p>
    <w:p>
      <w:pPr>
        <w:spacing w:before="60" w:after="40"/>
        <w:jc w:val="left"/>
      </w:pPr>
      <w:r>
        <w:rPr>
          <w:rFonts w:ascii="仿宋_GB2312" w:hAnsi="仿宋_GB2312" w:eastAsia="仿宋_GB2312"/>
          <w:b/>
          <w:sz w:val="28"/>
        </w:rPr>
        <w:t>（五）救济原则：公民、法人或者其他组织对行政许可享有陈述权、申辩权，有权依法申请行政复议或者提起行政诉讼。</w:t>
      </w:r>
    </w:p>
    <w:p>
      <w:pPr>
        <w:spacing w:before="120" w:after="0"/>
        <w:jc w:val="center"/>
      </w:pPr>
      <w:r>
        <w:rPr>
          <w:rFonts w:ascii="仿宋_GB2312" w:hAnsi="仿宋_GB2312" w:eastAsia="仿宋_GB2312"/>
          <w:b/>
          <w:sz w:val="32"/>
        </w:rPr>
        <w:t>第二章 申请与受理</w:t>
      </w:r>
    </w:p>
    <w:p>
      <w:pPr>
        <w:spacing w:before="0" w:after="0" w:lineRule="auto" w:line="360"/>
        <w:jc w:val="left"/>
      </w:pPr>
      <w:r>
        <w:rPr>
          <w:rFonts w:ascii="仿宋_GB2312" w:hAnsi="仿宋_GB2312" w:eastAsia="仿宋_GB2312"/>
          <w:b/>
          <w:sz w:val="28"/>
        </w:rPr>
        <w:t>第五条 公民、法人或者其他组织申请行政许可，应当依法向具有行政许可权的行政机关提出申请。</w:t>
      </w:r>
    </w:p>
    <w:p>
      <w:pPr>
        <w:spacing w:before="0" w:after="0" w:lineRule="auto" w:line="360"/>
        <w:jc w:val="left"/>
      </w:pPr>
      <w:r>
        <w:rPr>
          <w:rFonts w:ascii="仿宋_GB2312" w:hAnsi="仿宋_GB2312" w:eastAsia="仿宋_GB2312"/>
          <w:b/>
          <w:sz w:val="28"/>
        </w:rPr>
        <w:t>第六条 申请行政许可，申请人须提交以下材料：</w:t>
      </w:r>
    </w:p>
    <w:p>
      <w:pPr>
        <w:spacing w:before="60" w:after="40"/>
        <w:jc w:val="left"/>
      </w:pPr>
      <w:r>
        <w:rPr>
          <w:rFonts w:ascii="仿宋_GB2312" w:hAnsi="仿宋_GB2312" w:eastAsia="仿宋_GB2312"/>
          <w:b/>
          <w:sz w:val="28"/>
        </w:rPr>
        <w:t>（一）行政许可申请书，载明申请事项、理由及申请人基本信息；</w:t>
      </w:r>
    </w:p>
    <w:p>
      <w:pPr>
        <w:spacing w:before="60" w:after="40"/>
        <w:jc w:val="left"/>
      </w:pPr>
      <w:r>
        <w:rPr>
          <w:rFonts w:ascii="仿宋_GB2312" w:hAnsi="仿宋_GB2312" w:eastAsia="仿宋_GB2312"/>
          <w:b/>
          <w:sz w:val="28"/>
        </w:rPr>
        <w:t>（二）申请人的身份证明材料；</w:t>
      </w:r>
    </w:p>
    <w:p>
      <w:pPr>
        <w:spacing w:before="60" w:after="40"/>
        <w:jc w:val="left"/>
      </w:pPr>
      <w:r>
        <w:rPr>
          <w:rFonts w:ascii="仿宋_GB2312" w:hAnsi="仿宋_GB2312" w:eastAsia="仿宋_GB2312"/>
          <w:b/>
          <w:sz w:val="28"/>
        </w:rPr>
        <w:t>（三）证明申请人符合法定条件的相关材料；</w:t>
      </w:r>
    </w:p>
    <w:p>
      <w:pPr>
        <w:spacing w:before="60" w:after="40"/>
        <w:jc w:val="left"/>
      </w:pPr>
      <w:r>
        <w:rPr>
          <w:rFonts w:ascii="仿宋_GB2312" w:hAnsi="仿宋_GB2312" w:eastAsia="仿宋_GB2312"/>
          <w:b/>
          <w:sz w:val="28"/>
        </w:rPr>
        <w:t>（四）法律、法规、规章规定的其他材料。</w:t>
      </w:r>
    </w:p>
    <w:p>
      <w:pPr>
        <w:spacing w:before="0" w:after="0" w:lineRule="auto" w:line="360"/>
        <w:jc w:val="left"/>
      </w:pPr>
      <w:r>
        <w:rPr>
          <w:rFonts w:ascii="仿宋_GB2312" w:hAnsi="仿宋_GB2312" w:eastAsia="仿宋_GB2312"/>
          <w:b/>
          <w:sz w:val="28"/>
        </w:rPr>
        <w:t>第七条 行政机关对申请人提交的申请材料，应当当场或者在收到申请材料之日起五日内进行审查，并分别作出以下处理：</w:t>
      </w:r>
    </w:p>
    <w:p>
      <w:pPr>
        <w:spacing w:before="0" w:after="0" w:lineRule="auto" w:line="360"/>
        <w:jc w:val="left"/>
      </w:pPr>
      <w:r>
        <w:rPr>
          <w:rFonts w:ascii="仿宋_GB2312" w:hAnsi="仿宋_GB2312" w:eastAsia="仿宋_GB2312"/>
          <w:b/>
          <w:sz w:val="28"/>
        </w:rPr>
        <w:t>第一款 申请材料齐全、符合法定形式，或者申请人按照要求提交全部补正申请材料的，应当受理申请。</w:t>
      </w:r>
    </w:p>
    <w:p>
      <w:pPr>
        <w:spacing w:before="0" w:after="0" w:lineRule="auto" w:line="360"/>
        <w:jc w:val="left"/>
      </w:pPr>
      <w:r>
        <w:rPr>
          <w:rFonts w:ascii="仿宋_GB2312" w:hAnsi="仿宋_GB2312" w:eastAsia="仿宋_GB2312"/>
          <w:b/>
          <w:sz w:val="28"/>
        </w:rPr>
        <w:t>第二款 申请材料不齐全或者不符合法定形式的，应当当场或者在五日内一次性告知申请人需要补正的全部内容。</w:t>
      </w:r>
    </w:p>
    <w:p>
      <w:pPr>
        <w:spacing w:before="60" w:after="40"/>
        <w:jc w:val="left"/>
      </w:pPr>
      <w:r>
        <w:rPr>
          <w:rFonts w:ascii="仿宋_GB2312" w:hAnsi="仿宋_GB2312" w:eastAsia="仿宋_GB2312"/>
          <w:b/>
          <w:sz w:val="28"/>
        </w:rPr>
        <w:t>（一）补正期限不得少于三个工作日，申请人应在规定期限内完成补正。</w:t>
      </w:r>
    </w:p>
    <w:p>
      <w:pPr>
        <w:spacing w:before="60" w:after="40"/>
        <w:jc w:val="left"/>
      </w:pPr>
      <w:r>
        <w:rPr>
          <w:rFonts w:ascii="仿宋_GB2312" w:hAnsi="仿宋_GB2312" w:eastAsia="仿宋_GB2312"/>
          <w:b/>
          <w:sz w:val="28"/>
        </w:rPr>
        <w:t>（二）逾期未补正的，视为自动撤回申请，行政机关不再受理。</w:t>
      </w:r>
    </w:p>
    <w:p>
      <w:pPr>
        <w:spacing w:before="60" w:after="40"/>
        <w:jc w:val="left"/>
      </w:pPr>
      <w:r>
        <w:rPr>
          <w:rFonts w:ascii="仿宋_GB2312" w:hAnsi="仿宋_GB2312" w:eastAsia="仿宋_GB2312"/>
          <w:b/>
          <w:sz w:val="28"/>
        </w:rPr>
        <w:t>（三）申请人对补正要求有异议的，可申请行政复议，复议期间受理程序不停止。</w:t>
      </w:r>
    </w:p>
    <w:p>
      <w:pPr>
        <w:spacing w:before="0" w:after="0" w:lineRule="auto" w:line="360"/>
        <w:jc w:val="left"/>
      </w:pPr>
      <w:r>
        <w:rPr>
          <w:rFonts w:ascii="仿宋_GB2312" w:hAnsi="仿宋_GB2312" w:eastAsia="仿宋_GB2312"/>
          <w:b/>
          <w:sz w:val="28"/>
        </w:rPr>
        <w:t>第三款 申请事项依法不需要取得行政许可的，或者依法不属于本行政机关职权范围的，应当即时告知申请人不受理，并告知申请人向有关行政机关申请的方式和途径。</w:t>
      </w:r>
    </w:p>
    <w:p>
      <w:pPr>
        <w:spacing w:before="0" w:after="0" w:lineRule="auto" w:line="360"/>
        <w:jc w:val="left"/>
      </w:pPr>
      <w:r>
        <w:rPr>
          <w:rFonts w:ascii="仿宋_GB2312" w:hAnsi="仿宋_GB2312" w:eastAsia="仿宋_GB2312"/>
          <w:b/>
          <w:sz w:val="28"/>
        </w:rPr>
        <w:t>第八条 行政机关受理行政许可申请，应当出具加盖本行政机关专用印章和注明日期的书面凭证。</w:t>
      </w:r>
    </w:p>
    <w:p>
      <w:pPr>
        <w:spacing w:before="120" w:after="0"/>
        <w:jc w:val="center"/>
      </w:pPr>
      <w:r>
        <w:rPr>
          <w:rFonts w:ascii="仿宋_GB2312" w:hAnsi="仿宋_GB2312" w:eastAsia="仿宋_GB2312"/>
          <w:b/>
          <w:sz w:val="32"/>
        </w:rPr>
        <w:t>第三章 审查与决定</w:t>
      </w:r>
    </w:p>
    <w:p>
      <w:pPr>
        <w:spacing w:before="0" w:after="0" w:lineRule="auto" w:line="360"/>
        <w:jc w:val="left"/>
      </w:pPr>
      <w:r>
        <w:rPr>
          <w:rFonts w:ascii="仿宋_GB2312" w:hAnsi="仿宋_GB2312" w:eastAsia="仿宋_GB2312"/>
          <w:b/>
          <w:sz w:val="28"/>
        </w:rPr>
        <w:t>第九条 行政机关对受理的行政许可申请，应根据下列情形分别处理：</w:t>
      </w:r>
    </w:p>
    <w:p>
      <w:pPr>
        <w:spacing w:before="60" w:after="40"/>
        <w:jc w:val="left"/>
      </w:pPr>
      <w:r>
        <w:rPr>
          <w:rFonts w:ascii="仿宋_GB2312" w:hAnsi="仿宋_GB2312" w:eastAsia="仿宋_GB2312"/>
          <w:b/>
          <w:sz w:val="28"/>
        </w:rPr>
        <w:t>（一）申请许可事项属于直接关系公共安全、人身健康、生命财产安全的，须开展现场核查；</w:t>
      </w:r>
    </w:p>
    <w:p>
      <w:pPr>
        <w:spacing w:before="60" w:after="40"/>
        <w:jc w:val="left"/>
      </w:pPr>
      <w:r>
        <w:rPr>
          <w:rFonts w:ascii="仿宋_GB2312" w:hAnsi="仿宋_GB2312" w:eastAsia="仿宋_GB2312"/>
          <w:b/>
          <w:sz w:val="28"/>
        </w:rPr>
        <w:t>（二）申请许可事项属于有限自然资源开发利用的，须公开申请条件和数量，依法组织竞争性遴选；</w:t>
      </w:r>
    </w:p>
    <w:p>
      <w:pPr>
        <w:spacing w:before="60" w:after="40"/>
        <w:jc w:val="left"/>
      </w:pPr>
      <w:r>
        <w:rPr>
          <w:rFonts w:ascii="仿宋_GB2312" w:hAnsi="仿宋_GB2312" w:eastAsia="仿宋_GB2312"/>
          <w:b/>
          <w:sz w:val="28"/>
        </w:rPr>
        <w:t>（三）申请许可事项属于普通许可类型的，行政机关可采取书面审查方式，不得增设现场核查要求。</w:t>
      </w:r>
    </w:p>
    <w:p>
      <w:pPr>
        <w:spacing w:before="0" w:after="0" w:lineRule="auto" w:line="360"/>
        <w:jc w:val="left"/>
      </w:pPr>
      <w:r>
        <w:rPr>
          <w:rFonts w:ascii="仿宋_GB2312" w:hAnsi="仿宋_GB2312" w:eastAsia="仿宋_GB2312"/>
          <w:b/>
          <w:sz w:val="28"/>
        </w:rPr>
        <w:t>第十条 行政机关应当自受理行政许可申请之日起二十日内作出行政许可决定。二十日内不能作出决定的，经本行政机关负责人批准，可以延长十日，并应当将延长期限的理由告知申请人。</w:t>
      </w:r>
    </w:p>
    <w:p>
      <w:pPr>
        <w:spacing w:before="0" w:after="0" w:lineRule="auto" w:line="360"/>
        <w:jc w:val="left"/>
      </w:pPr>
      <w:r>
        <w:rPr>
          <w:rFonts w:ascii="仿宋_GB2312" w:hAnsi="仿宋_GB2312" w:eastAsia="仿宋_GB2312"/>
          <w:b/>
          <w:sz w:val="28"/>
        </w:rPr>
        <w:t>第十一条 对于需要组织听证的行政许可，应当提前告知申请人。听证按照下列程序进行：</w:t>
      </w:r>
    </w:p>
    <w:p>
      <w:pPr>
        <w:spacing w:before="60" w:after="40"/>
        <w:jc w:val="left"/>
      </w:pPr>
      <w:r>
        <w:rPr>
          <w:rFonts w:ascii="仿宋_GB2312" w:hAnsi="仿宋_GB2312" w:eastAsia="仿宋_GB2312"/>
          <w:b/>
          <w:sz w:val="28"/>
        </w:rPr>
        <w:t>（一）行政机关应当在举行听证的七日前将听证的时间、地点通知申请人、利害关系人；</w:t>
      </w:r>
    </w:p>
    <w:p>
      <w:pPr>
        <w:spacing w:before="60" w:after="40"/>
        <w:jc w:val="left"/>
      </w:pPr>
      <w:r>
        <w:rPr>
          <w:rFonts w:ascii="仿宋_GB2312" w:hAnsi="仿宋_GB2312" w:eastAsia="仿宋_GB2312"/>
          <w:b/>
          <w:sz w:val="28"/>
        </w:rPr>
        <w:t>（二）听证应当公开举行，但涉及国家秘密、商业秘密或个人隐私的除外；</w:t>
      </w:r>
    </w:p>
    <w:p>
      <w:pPr>
        <w:spacing w:before="60" w:after="40"/>
        <w:jc w:val="left"/>
      </w:pPr>
      <w:r>
        <w:rPr>
          <w:rFonts w:ascii="仿宋_GB2312" w:hAnsi="仿宋_GB2312" w:eastAsia="仿宋_GB2312"/>
          <w:b/>
          <w:sz w:val="28"/>
        </w:rPr>
        <w:t>（三）申请人、利害关系人可以亲自出席听证或委托代理人出席；</w:t>
      </w:r>
    </w:p>
    <w:p>
      <w:pPr>
        <w:spacing w:before="60" w:after="40"/>
        <w:jc w:val="left"/>
      </w:pPr>
      <w:r>
        <w:rPr>
          <w:rFonts w:ascii="仿宋_GB2312" w:hAnsi="仿宋_GB2312" w:eastAsia="仿宋_GB2312"/>
          <w:b/>
          <w:sz w:val="28"/>
        </w:rPr>
        <w:t>（四）听证笔录应由听证主持人签字后，作为行政许可决定的依据。</w:t>
      </w:r>
    </w:p>
    <w:p>
      <w:pPr>
        <w:spacing w:before="120" w:after="0"/>
        <w:jc w:val="center"/>
      </w:pPr>
      <w:r>
        <w:rPr>
          <w:rFonts w:ascii="仿宋_GB2312" w:hAnsi="仿宋_GB2312" w:eastAsia="仿宋_GB2312"/>
          <w:b/>
          <w:sz w:val="32"/>
        </w:rPr>
        <w:t>第四章 许可证件管理</w:t>
      </w:r>
    </w:p>
    <w:p>
      <w:pPr>
        <w:spacing w:before="0" w:after="0" w:lineRule="auto" w:line="360"/>
        <w:jc w:val="left"/>
      </w:pPr>
      <w:r>
        <w:rPr>
          <w:rFonts w:ascii="仿宋_GB2312" w:hAnsi="仿宋_GB2312" w:eastAsia="仿宋_GB2312"/>
          <w:b/>
          <w:sz w:val="28"/>
        </w:rPr>
        <w:t>第十二条 行政许可证件有效期届满需要延续的，被许可人应当在许可证件有效期届满三十日前向原行政机关提出申请。</w:t>
      </w:r>
    </w:p>
    <w:p>
      <w:pPr>
        <w:spacing w:before="0" w:after="0" w:lineRule="auto" w:line="360"/>
        <w:jc w:val="left"/>
      </w:pPr>
      <w:r>
        <w:rPr>
          <w:rFonts w:ascii="仿宋_GB2312" w:hAnsi="仿宋_GB2312" w:eastAsia="仿宋_GB2312"/>
          <w:b/>
          <w:sz w:val="28"/>
        </w:rPr>
        <w:t>第十三条 行政许可证件分类管理标准如下：</w:t>
      </w:r>
    </w:p>
    <w:tbl>
      <w:tblPr>
        <w:tblStyle w:val="TableGrid"/>
        <w:tblW w:type="auto" w:w="0"/>
        <w:tblLook w:firstColumn="1" w:firstRow="1" w:lastColumn="0" w:lastRow="0" w:noHBand="0" w:noVBand="1" w:val="04A0"/>
      </w:tblPr>
      <w:tblGrid>
        <w:gridCol w:w="2211"/>
        <w:gridCol w:w="2211"/>
        <w:gridCol w:w="2211"/>
        <w:gridCol w:w="2211"/>
      </w:tblGrid>
      <w:tr>
        <w:tc>
          <w:tcPr>
            <w:tcW w:type="dxa" w:w="2211"/>
            <w:shd w:val="clear" w:color="auto" w:fill="2E6EB7"/>
          </w:tcPr>
          <w:p>
            <w:r>
              <w:rPr>
                <w:rFonts w:ascii="仿宋_GB2312" w:hAnsi="仿宋_GB2312"/>
                <w:b/>
                <w:color w:val="FFFFFF"/>
                <w:sz w:val="24"/>
              </w:rPr>
              <w:t>证件类型</w:t>
            </w:r>
          </w:p>
        </w:tc>
        <w:tc>
          <w:tcPr>
            <w:tcW w:type="dxa" w:w="2211"/>
            <w:shd w:val="clear" w:color="auto" w:fill="2E6EB7"/>
          </w:tcPr>
          <w:p>
            <w:r>
              <w:rPr>
                <w:rFonts w:ascii="仿宋_GB2312" w:hAnsi="仿宋_GB2312"/>
                <w:b/>
                <w:color w:val="FFFFFF"/>
                <w:sz w:val="24"/>
              </w:rPr>
              <w:t>有效期</w:t>
            </w:r>
          </w:p>
        </w:tc>
        <w:tc>
          <w:tcPr>
            <w:tcW w:type="dxa" w:w="2211"/>
            <w:shd w:val="clear" w:color="auto" w:fill="2E6EB7"/>
          </w:tcPr>
          <w:p>
            <w:r>
              <w:rPr>
                <w:rFonts w:ascii="仿宋_GB2312" w:hAnsi="仿宋_GB2312"/>
                <w:b/>
                <w:color w:val="FFFFFF"/>
                <w:sz w:val="24"/>
              </w:rPr>
              <w:t>延续期限</w:t>
            </w:r>
          </w:p>
        </w:tc>
        <w:tc>
          <w:tcPr>
            <w:tcW w:type="dxa" w:w="2211"/>
            <w:shd w:val="clear" w:color="auto" w:fill="2E6EB7"/>
          </w:tcPr>
          <w:p>
            <w:r>
              <w:rPr>
                <w:rFonts w:ascii="仿宋_GB2312" w:hAnsi="仿宋_GB2312"/>
                <w:b/>
                <w:color w:val="FFFFFF"/>
                <w:sz w:val="24"/>
              </w:rPr>
              <w:t>主管部门</w:t>
            </w:r>
          </w:p>
        </w:tc>
      </w:tr>
      <w:tr>
        <w:tc>
          <w:tcPr>
            <w:tcW w:type="dxa" w:w="2211"/>
          </w:tcPr>
          <w:p>
            <w:r>
              <w:rPr>
                <w:rFonts w:ascii="仿宋_GB2312" w:hAnsi="仿宋_GB2312"/>
                <w:sz w:val="24"/>
              </w:rPr>
              <w:t>营业执照</w:t>
            </w:r>
          </w:p>
        </w:tc>
        <w:tc>
          <w:tcPr>
            <w:tcW w:type="dxa" w:w="2211"/>
          </w:tcPr>
          <w:p>
            <w:r>
              <w:rPr>
                <w:rFonts w:ascii="仿宋_GB2312" w:hAnsi="仿宋_GB2312"/>
                <w:sz w:val="24"/>
              </w:rPr>
              <w:t>长期</w:t>
            </w:r>
          </w:p>
        </w:tc>
        <w:tc>
          <w:tcPr>
            <w:tcW w:type="dxa" w:w="2211"/>
          </w:tcPr>
          <w:p>
            <w:r>
              <w:rPr>
                <w:rFonts w:ascii="仿宋_GB2312" w:hAnsi="仿宋_GB2312"/>
                <w:sz w:val="24"/>
              </w:rPr>
              <w:t>不适用</w:t>
            </w:r>
          </w:p>
        </w:tc>
        <w:tc>
          <w:tcPr>
            <w:tcW w:type="dxa" w:w="2211"/>
          </w:tcPr>
          <w:p>
            <w:r>
              <w:rPr>
                <w:rFonts w:ascii="仿宋_GB2312" w:hAnsi="仿宋_GB2312"/>
                <w:sz w:val="24"/>
              </w:rPr>
              <w:t>市场监督管理局</w:t>
            </w:r>
          </w:p>
        </w:tc>
      </w:tr>
      <w:tr>
        <w:tc>
          <w:tcPr>
            <w:tcW w:type="dxa" w:w="2211"/>
          </w:tcPr>
          <w:p>
            <w:r>
              <w:rPr>
                <w:rFonts w:ascii="仿宋_GB2312" w:hAnsi="仿宋_GB2312"/>
                <w:sz w:val="24"/>
              </w:rPr>
              <w:t>生产许可证</w:t>
            </w:r>
          </w:p>
        </w:tc>
        <w:tc>
          <w:tcPr>
            <w:tcW w:type="dxa" w:w="2211"/>
          </w:tcPr>
          <w:p>
            <w:r>
              <w:rPr>
                <w:rFonts w:ascii="仿宋_GB2312" w:hAnsi="仿宋_GB2312"/>
                <w:sz w:val="24"/>
              </w:rPr>
              <w:t>5年</w:t>
            </w:r>
          </w:p>
        </w:tc>
        <w:tc>
          <w:tcPr>
            <w:tcW w:type="dxa" w:w="2211"/>
          </w:tcPr>
          <w:p>
            <w:r>
              <w:rPr>
                <w:rFonts w:ascii="仿宋_GB2312" w:hAnsi="仿宋_GB2312"/>
                <w:sz w:val="24"/>
              </w:rPr>
              <w:t>到期前30日</w:t>
            </w:r>
          </w:p>
        </w:tc>
        <w:tc>
          <w:tcPr>
            <w:tcW w:type="dxa" w:w="2211"/>
          </w:tcPr>
          <w:p>
            <w:r>
              <w:rPr>
                <w:rFonts w:ascii="仿宋_GB2312" w:hAnsi="仿宋_GB2312"/>
                <w:sz w:val="24"/>
              </w:rPr>
              <w:t>工业和信息化局</w:t>
            </w:r>
          </w:p>
        </w:tc>
      </w:tr>
      <w:tr>
        <w:tc>
          <w:tcPr>
            <w:tcW w:type="dxa" w:w="2211"/>
          </w:tcPr>
          <w:p>
            <w:r>
              <w:rPr>
                <w:rFonts w:ascii="仿宋_GB2312" w:hAnsi="仿宋_GB2312"/>
                <w:sz w:val="24"/>
              </w:rPr>
              <w:t>食品经营许可证</w:t>
            </w:r>
          </w:p>
        </w:tc>
        <w:tc>
          <w:tcPr>
            <w:tcW w:type="dxa" w:w="2211"/>
          </w:tcPr>
          <w:p>
            <w:r>
              <w:rPr>
                <w:rFonts w:ascii="仿宋_GB2312" w:hAnsi="仿宋_GB2312"/>
                <w:sz w:val="24"/>
              </w:rPr>
              <w:t>5年</w:t>
            </w:r>
          </w:p>
        </w:tc>
        <w:tc>
          <w:tcPr>
            <w:tcW w:type="dxa" w:w="2211"/>
          </w:tcPr>
          <w:p>
            <w:r>
              <w:rPr>
                <w:rFonts w:ascii="仿宋_GB2312" w:hAnsi="仿宋_GB2312"/>
                <w:sz w:val="24"/>
              </w:rPr>
              <w:t>到期前30日</w:t>
            </w:r>
          </w:p>
        </w:tc>
        <w:tc>
          <w:tcPr>
            <w:tcW w:type="dxa" w:w="2211"/>
          </w:tcPr>
          <w:p>
            <w:r>
              <w:rPr>
                <w:rFonts w:ascii="仿宋_GB2312" w:hAnsi="仿宋_GB2312"/>
                <w:sz w:val="24"/>
              </w:rPr>
              <w:t>市场监督管理局</w:t>
            </w:r>
          </w:p>
        </w:tc>
      </w:tr>
      <w:tr>
        <w:tc>
          <w:tcPr>
            <w:tcW w:type="dxa" w:w="2211"/>
          </w:tcPr>
          <w:p>
            <w:r>
              <w:rPr>
                <w:rFonts w:ascii="仿宋_GB2312" w:hAnsi="仿宋_GB2312"/>
                <w:sz w:val="24"/>
              </w:rPr>
              <w:t>建筑施工许可证</w:t>
            </w:r>
          </w:p>
        </w:tc>
        <w:tc>
          <w:tcPr>
            <w:tcW w:type="dxa" w:w="2211"/>
          </w:tcPr>
          <w:p>
            <w:r>
              <w:rPr>
                <w:rFonts w:ascii="仿宋_GB2312" w:hAnsi="仿宋_GB2312"/>
                <w:sz w:val="24"/>
              </w:rPr>
              <w:t>按项目</w:t>
            </w:r>
          </w:p>
        </w:tc>
        <w:tc>
          <w:tcPr>
            <w:tcW w:type="dxa" w:w="2211"/>
          </w:tcPr>
          <w:p>
            <w:r>
              <w:rPr>
                <w:rFonts w:ascii="仿宋_GB2312" w:hAnsi="仿宋_GB2312"/>
                <w:sz w:val="24"/>
              </w:rPr>
              <w:t>不适用</w:t>
            </w:r>
          </w:p>
        </w:tc>
        <w:tc>
          <w:tcPr>
            <w:tcW w:type="dxa" w:w="2211"/>
          </w:tcPr>
          <w:p>
            <w:r>
              <w:rPr>
                <w:rFonts w:ascii="仿宋_GB2312" w:hAnsi="仿宋_GB2312"/>
                <w:sz w:val="24"/>
              </w:rPr>
              <w:t>住房建设局</w:t>
            </w:r>
          </w:p>
        </w:tc>
      </w:tr>
      <w:tr>
        <w:tc>
          <w:tcPr>
            <w:tcW w:type="dxa" w:w="2211"/>
          </w:tcPr>
          <w:p>
            <w:r>
              <w:rPr>
                <w:rFonts w:ascii="仿宋_GB2312" w:hAnsi="仿宋_GB2312"/>
                <w:sz w:val="24"/>
              </w:rPr>
              <w:t>医疗机构执业许可证</w:t>
            </w:r>
          </w:p>
        </w:tc>
        <w:tc>
          <w:tcPr>
            <w:tcW w:type="dxa" w:w="2211"/>
          </w:tcPr>
          <w:p>
            <w:r>
              <w:rPr>
                <w:rFonts w:ascii="仿宋_GB2312" w:hAnsi="仿宋_GB2312"/>
                <w:sz w:val="24"/>
              </w:rPr>
              <w:t>5年</w:t>
            </w:r>
          </w:p>
        </w:tc>
        <w:tc>
          <w:tcPr>
            <w:tcW w:type="dxa" w:w="2211"/>
          </w:tcPr>
          <w:p>
            <w:r>
              <w:rPr>
                <w:rFonts w:ascii="仿宋_GB2312" w:hAnsi="仿宋_GB2312"/>
                <w:sz w:val="24"/>
              </w:rPr>
              <w:t>到期前90日</w:t>
            </w:r>
          </w:p>
        </w:tc>
        <w:tc>
          <w:tcPr>
            <w:tcW w:type="dxa" w:w="2211"/>
          </w:tcPr>
          <w:p>
            <w:r>
              <w:rPr>
                <w:rFonts w:ascii="仿宋_GB2312" w:hAnsi="仿宋_GB2312"/>
                <w:sz w:val="24"/>
              </w:rPr>
              <w:t>卫生健康局</w:t>
            </w:r>
          </w:p>
        </w:tc>
      </w:tr>
    </w:tbl>
    <w:p/>
    <w:p>
      <w:pPr>
        <w:spacing w:before="120" w:after="0"/>
        <w:jc w:val="center"/>
      </w:pPr>
      <w:r>
        <w:rPr>
          <w:rFonts w:ascii="仿宋_GB2312" w:hAnsi="仿宋_GB2312" w:eastAsia="仿宋_GB2312"/>
          <w:b/>
          <w:sz w:val="32"/>
        </w:rPr>
        <w:t>第五章 法律责任</w:t>
      </w:r>
    </w:p>
    <w:p>
      <w:pPr>
        <w:spacing w:before="0" w:after="0" w:lineRule="auto" w:line="360"/>
        <w:jc w:val="left"/>
      </w:pPr>
      <w:r>
        <w:rPr>
          <w:rFonts w:ascii="仿宋_GB2312" w:hAnsi="仿宋_GB2312" w:eastAsia="仿宋_GB2312"/>
          <w:b/>
          <w:sz w:val="28"/>
        </w:rPr>
        <w:t>第十四条 行政机关及其工作人员有下列行为之一的，由上级行政机关或监察机关依法追究责任：</w:t>
      </w:r>
    </w:p>
    <w:p>
      <w:pPr>
        <w:spacing w:before="60" w:after="40"/>
        <w:jc w:val="left"/>
      </w:pPr>
      <w:r>
        <w:rPr>
          <w:rFonts w:ascii="仿宋_GB2312" w:hAnsi="仿宋_GB2312" w:eastAsia="仿宋_GB2312"/>
          <w:b/>
          <w:sz w:val="28"/>
        </w:rPr>
        <w:t>（一）对申请人隐瞒行政许可条件、程序、方式的；</w:t>
      </w:r>
    </w:p>
    <w:p>
      <w:pPr>
        <w:spacing w:before="60" w:after="40"/>
        <w:jc w:val="left"/>
      </w:pPr>
      <w:r>
        <w:rPr>
          <w:rFonts w:ascii="仿宋_GB2312" w:hAnsi="仿宋_GB2312" w:eastAsia="仿宋_GB2312"/>
          <w:b/>
          <w:sz w:val="28"/>
        </w:rPr>
        <w:t>（二）对符合法定条件的申请人拒绝颁发行政许可或拖延颁发行政许可的；</w:t>
      </w:r>
    </w:p>
    <w:p>
      <w:pPr>
        <w:spacing w:before="60" w:after="40"/>
        <w:jc w:val="left"/>
      </w:pPr>
      <w:r>
        <w:rPr>
          <w:rFonts w:ascii="仿宋_GB2312" w:hAnsi="仿宋_GB2312" w:eastAsia="仿宋_GB2312"/>
          <w:b/>
          <w:sz w:val="28"/>
        </w:rPr>
        <w:t>（三）对不符合法定条件的申请人予以行政许可的；</w:t>
      </w:r>
    </w:p>
    <w:p>
      <w:pPr>
        <w:spacing w:before="60" w:after="40"/>
        <w:jc w:val="left"/>
      </w:pPr>
      <w:r>
        <w:rPr>
          <w:rFonts w:ascii="仿宋_GB2312" w:hAnsi="仿宋_GB2312" w:eastAsia="仿宋_GB2312"/>
          <w:b/>
          <w:sz w:val="28"/>
        </w:rPr>
        <w:t>（四）超越法定权限实施行政许可的。</w:t>
      </w:r>
    </w:p>
    <w:p>
      <w:pPr>
        <w:spacing w:before="0" w:after="0" w:lineRule="auto" w:line="360"/>
        <w:jc w:val="left"/>
      </w:pPr>
      <w:r>
        <w:rPr>
          <w:rFonts w:ascii="仿宋_GB2312" w:hAnsi="仿宋_GB2312" w:eastAsia="仿宋_GB2312"/>
          <w:b/>
          <w:sz w:val="28"/>
        </w:rPr>
        <w:t>第十五条 公民、法人或者其他组织以欺骗、贿赂等不正当手段取得行政许可的，行政机关应当依法予以撤销；构成犯罪的，依法追究刑事责任。</w:t>
      </w:r>
    </w:p>
    <w:p>
      <w:pPr>
        <w:spacing w:before="120" w:after="0"/>
        <w:jc w:val="center"/>
      </w:pPr>
      <w:r>
        <w:rPr>
          <w:rFonts w:ascii="仿宋_GB2312" w:hAnsi="仿宋_GB2312" w:eastAsia="仿宋_GB2312"/>
          <w:b/>
          <w:sz w:val="32"/>
        </w:rPr>
        <w:t>第六章 附则</w:t>
      </w:r>
    </w:p>
    <w:p>
      <w:pPr>
        <w:spacing w:before="0" w:after="0" w:lineRule="auto" w:line="360"/>
        <w:jc w:val="left"/>
      </w:pPr>
      <w:r>
        <w:rPr>
          <w:rFonts w:ascii="仿宋_GB2312" w:hAnsi="仿宋_GB2312" w:eastAsia="仿宋_GB2312"/>
          <w:b/>
          <w:sz w:val="28"/>
        </w:rPr>
        <w:t>第十六条 本办法自2025年5月1日起施行，有效期五年。</w:t>
      </w:r>
    </w:p>
    <w:p>
      <w:pPr>
        <w:spacing w:before="0" w:after="0" w:lineRule="auto" w:line="360"/>
        <w:jc w:val="left"/>
      </w:pPr>
      <w:r>
        <w:rPr>
          <w:rFonts w:ascii="仿宋_GB2312" w:hAnsi="仿宋_GB2312" w:eastAsia="仿宋_GB2312"/>
          <w:b/>
          <w:sz w:val="28"/>
        </w:rPr>
        <w:t>第十七条 本办法由静宁县人民政府法制办公室负责解释。</w:t>
      </w:r>
    </w:p>
    <w:p>
      <w:pPr>
        <w:spacing w:before="120" w:after="0"/>
        <w:jc w:val="right"/>
      </w:pPr>
      <w:r>
        <w:rPr>
          <w:rFonts w:ascii="仿宋_GB2312" w:hAnsi="仿宋_GB2312" w:eastAsia="仿宋_GB2312"/>
          <w:b w:val="0"/>
          <w:sz w:val="28"/>
        </w:rPr>
        <w:t>静宁县人民政府</w:t>
      </w:r>
    </w:p>
    <w:p>
      <w:pPr>
        <w:spacing w:before="120" w:after="0"/>
        <w:jc w:val="right"/>
      </w:pPr>
      <w:r>
        <w:rPr>
          <w:rFonts w:ascii="仿宋_GB2312" w:hAnsi="仿宋_GB2312" w:eastAsia="仿宋_GB2312"/>
          <w:b w:val="0"/>
          <w:sz w:val="28"/>
        </w:rPr>
        <w:t>二○二五年四月一日</w:t>
      </w:r>
    </w:p>
    <w:sectPr w:rsidR="00FC693F" w:rsidRPr="0006063C" w:rsidSect="00034616">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