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静宁县人民政府办公室</w:t>
      </w:r>
    </w:p>
    <w:p>
      <w:pPr>
        <w:spacing w:before="240" w:after="240"/>
        <w:jc w:val="center"/>
      </w:pPr>
      <w:r>
        <w:rPr>
          <w:rFonts w:ascii="方正小标宋简体" w:hAnsi="方正小标宋简体" w:eastAsia="方正小标宋简体"/>
          <w:b/>
          <w:sz w:val="44"/>
        </w:rPr>
        <w:t>关于印发《静宁县2025年度重点民生实事工程实施方案》的通知</w:t>
      </w:r>
    </w:p>
    <w:p>
      <w:pPr>
        <w:spacing w:before="0" w:after="0"/>
        <w:jc w:val="center"/>
      </w:pPr>
      <w:r>
        <w:rPr>
          <w:rFonts w:ascii="仿宋_GB2312" w:hAnsi="仿宋_GB2312" w:eastAsia="仿宋_GB2312"/>
          <w:b w:val="0"/>
          <w:color w:val="CC0000"/>
          <w:sz w:val="28"/>
        </w:rPr>
        <w:t>静政办发〔2025〕15号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各乡镇人民政府，县政府各部门，驻静各单位：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《静宁县2025年度重点民生实事工程实施方案》已经县委常委会研究通过，现印发给你们，请认真贯彻执行。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一、总体要求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（一）指导思想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坚持以人民为中心的发展思想，深入贯彻落实党中央、省委、市委有关民生工作的决策部署，着力解决群众最关心、最直接、最现实的利益问题，系统推进10项民生实事落地落实，努力让全县人民群众的获得感、幸福感、安全感更加充实、更有保障、更可持续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（二）主要目标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2025年，全面完成10项重点民生实事工程，包括：新建改扩建农村公路45公里、提升改造供暖管网8500户、新增普惠性托育机构10家、完成城镇新增就业3200人、发放特困供养对象生活补贴不低于当地最低生活保障标准的1.3倍，实现各项民生指标全面稳步提升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二、重点任务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（一）交通基础设施提升工程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1. 农村公路提质改造：2025年完成农村公路新建改造45公里，重点推进仁大镇—威戎镇路面硬化工程，完成总投资3200万元。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2. 农村道路安防设施完善：对全县现有2300公里农村公路，全部完善防护栏、标志标线和反光镜。资金来源：省级专项资金和县财政各承担50%。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3. 桥梁隐患整治：完成全县排查出的4座C、D类危桥改造，确保群众出行安全。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（二）教育民生提升工程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1. 城区学校扩容：新建城关小学分校1所，增加学位1200个；改扩建城关幼儿园3所，新增普惠园位600个。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2. 农村寄宿制学校条件改善：对全县17所农村寄宿制学校进行宿舍、食堂、卫生间及暖气设施提升，投入资金530万元，由县教育局统筹实施。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3. 教师数字素养提升：完成全县中小学教师数字教育培训覆盖率达到95%，组建5个县级名师工作室，辐射带动农村教育质量整体提升。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（三）医疗卫生保障工程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1. 乡镇卫生院能力提升：重点支持威戎镇、仁大镇、李店镇3所乡镇卫生院完成达标建设，购置心电图机、超声诊断仪等基础医疗设备23台套，投入资金180万元。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2. 家庭医生签约服务：全县重点人群（高血压、糖尿病患者、65岁以上老人、残疾人）家庭医生签约服务覆盖率达到95%以上，开展上门随访服务不低于2次/年。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3. 农村药品保障：推进全县乡镇卫生院基本药物目录统一规范管理，村卫生室基本药物配备率达到100%，"空白村"药品供应问题全面解决。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三、项目投资一览表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1769"/>
            <w:shd w:val="clear" w:color="auto" w:fill="2E6EB7"/>
          </w:tcPr>
          <w:p>
            <w:r>
              <w:rPr>
                <w:rFonts w:ascii="仿宋_GB2312" w:hAnsi="仿宋_GB2312"/>
                <w:b/>
                <w:color w:val="FFFFFF"/>
                <w:sz w:val="24"/>
              </w:rPr>
              <w:t>工程类别</w:t>
            </w:r>
          </w:p>
        </w:tc>
        <w:tc>
          <w:tcPr>
            <w:tcW w:type="dxa" w:w="1769"/>
            <w:shd w:val="clear" w:color="auto" w:fill="2E6EB7"/>
          </w:tcPr>
          <w:p>
            <w:r>
              <w:rPr>
                <w:rFonts w:ascii="仿宋_GB2312" w:hAnsi="仿宋_GB2312"/>
                <w:b/>
                <w:color w:val="FFFFFF"/>
                <w:sz w:val="24"/>
              </w:rPr>
              <w:t>项目名称</w:t>
            </w:r>
          </w:p>
        </w:tc>
        <w:tc>
          <w:tcPr>
            <w:tcW w:type="dxa" w:w="1769"/>
            <w:shd w:val="clear" w:color="auto" w:fill="2E6EB7"/>
          </w:tcPr>
          <w:p>
            <w:r>
              <w:rPr>
                <w:rFonts w:ascii="仿宋_GB2312" w:hAnsi="仿宋_GB2312"/>
                <w:b/>
                <w:color w:val="FFFFFF"/>
                <w:sz w:val="24"/>
              </w:rPr>
              <w:t>投资金额（万元）</w:t>
            </w:r>
          </w:p>
        </w:tc>
        <w:tc>
          <w:tcPr>
            <w:tcW w:type="dxa" w:w="1769"/>
            <w:shd w:val="clear" w:color="auto" w:fill="2E6EB7"/>
          </w:tcPr>
          <w:p>
            <w:r>
              <w:rPr>
                <w:rFonts w:ascii="仿宋_GB2312" w:hAnsi="仿宋_GB2312"/>
                <w:b/>
                <w:color w:val="FFFFFF"/>
                <w:sz w:val="24"/>
              </w:rPr>
              <w:t>责任单位</w:t>
            </w:r>
          </w:p>
        </w:tc>
        <w:tc>
          <w:tcPr>
            <w:tcW w:type="dxa" w:w="1769"/>
            <w:shd w:val="clear" w:color="auto" w:fill="2E6EB7"/>
          </w:tcPr>
          <w:p>
            <w:r>
              <w:rPr>
                <w:rFonts w:ascii="仿宋_GB2312" w:hAnsi="仿宋_GB2312"/>
                <w:b/>
                <w:color w:val="FFFFFF"/>
                <w:sz w:val="24"/>
              </w:rPr>
              <w:t>完工时限</w:t>
            </w:r>
          </w:p>
        </w:tc>
      </w:tr>
      <w:tr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交通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农村公路提质改造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3200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县交通局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2025年10月</w:t>
            </w:r>
          </w:p>
        </w:tc>
      </w:tr>
      <w:tr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交通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C/D类危桥改造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800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县交通局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2025年12月</w:t>
            </w:r>
          </w:p>
        </w:tc>
      </w:tr>
      <w:tr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教育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城关小学分校建设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2500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县教育局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2026年8月</w:t>
            </w:r>
          </w:p>
        </w:tc>
      </w:tr>
      <w:tr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教育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农村寄宿制学校改善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530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县教育局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2025年8月</w:t>
            </w:r>
          </w:p>
        </w:tc>
      </w:tr>
      <w:tr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医疗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卫生院达标建设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180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县卫健局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2025年12月</w:t>
            </w:r>
          </w:p>
        </w:tc>
      </w:tr>
      <w:tr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医疗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家庭医生签约推进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120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县卫健局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长期</w:t>
            </w:r>
          </w:p>
        </w:tc>
      </w:tr>
    </w:tbl>
    <w:p/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四、组织保障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（一）加强组织领导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成立静宁县2025年民生实事工程推进领导小组，由县长任组长，分管副县长任副组长，各相关部门主要负责人为成员。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（二）严格资金管理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民生实事专项资金纳入县本级预算统筹安排，实行"一账一专"管理，严禁截留挪用。各实施单位须于每季度末10日前向县政府办公室报送资金使用情况。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（三）强化督查考核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民生实事项目纳入2025年度县对乡镇、部门综合考核体系，权重不低于20%。年底对完成情况优秀的单位给予通报表彰，对敷衍塞责、进展迟缓的单位予以通报批评和约谈问责。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请各地各部门接到通知后认真组织学习，迅速部署落实。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静宁县人民政府办公室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二○二五年三月二十日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