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0000"/>
          <w:sz w:val="48"/>
        </w:rPr>
        <w:t>中国人工智能治理委员会文件</w:t>
      </w:r>
    </w:p>
    <w:p>
      <w:pPr>
        <w:jc w:val="center"/>
      </w:pPr>
      <w:r>
        <w:t>中智委〔2024〕001号</w:t>
      </w:r>
    </w:p>
    <w:p>
      <w:pPr>
        <w:jc w:val="center"/>
      </w:pPr>
      <w:r>
        <w:rPr>
          <w:color w:val="FF0000"/>
        </w:rPr>
        <w:t>________________________________________________________</w:t>
      </w:r>
    </w:p>
    <w:p>
      <w:pPr>
        <w:pStyle w:val="Heading1"/>
        <w:jc w:val="center"/>
      </w:pPr>
      <w:r>
        <w:t>关于加强大模型噪声治理的实施办法</w:t>
      </w:r>
    </w:p>
    <w:p>
      <w:r>
        <w:t>为了进一步提升 RAG（检索增强生成）系统的准确性，各单位应加强对文档解析阶段的噪声识别与过滤工作。 噪声包括但不限于页眉、页脚、重复页码、以及文档内部的批注信息。</w:t>
      </w:r>
    </w:p>
    <w:p>
      <w:r>
        <w:t>核心任务如下：</w:t>
      </w:r>
      <w:r>
        <w:rPr>
          <w:b/>
        </w:rPr>
        <w:br/>
        <w:t>1. 建立结构化元素识别模型。</w:t>
      </w:r>
      <w:r>
        <w:br/>
        <w:t>2. 实现跨页指纹识别算法。</w:t>
      </w:r>
      <w:r>
        <w:br/>
        <w:t>3. 优化显存按需加载策略。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24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stamp_17787492936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br/>
        <w:t>[系统自动标注：此处描述需进一步细化]</w:t>
      </w:r>
    </w:p>
    <w:p>
      <w:r>
        <w:br/>
        <w:t>------------------</w:t>
      </w:r>
      <w:r>
        <w:rPr>
          <w:i/>
          <w:sz w:val="18"/>
        </w:rPr>
        <w:br/>
        <w:t>注1：本文件由 Antigravity 架构师起草。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1 页 共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密级：内部公开 | 编号：AI-2024-X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