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3yf4t3jt98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General de la Aplicación: MediTrack Mobile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f9m6lycr0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 y Enfoque del Sistema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MediTrack</w:t>
      </w:r>
      <w:r w:rsidDel="00000000" w:rsidR="00000000" w:rsidRPr="00000000">
        <w:rPr>
          <w:rtl w:val="0"/>
        </w:rPr>
        <w:t xml:space="preserve"> es una solución móvil diseñada para el seguimiento integral de tratamientos farmacológicos y citas médicas, con un fuerte enfoque en la </w:t>
      </w:r>
      <w:r w:rsidDel="00000000" w:rsidR="00000000" w:rsidRPr="00000000">
        <w:rPr>
          <w:b w:val="1"/>
          <w:bCs w:val="1"/>
          <w:rtl w:val="0"/>
        </w:rPr>
        <w:t xml:space="preserve">accesibilidad para personas mayores</w:t>
      </w:r>
      <w:r w:rsidDel="00000000" w:rsidR="00000000" w:rsidRPr="00000000">
        <w:rPr>
          <w:rtl w:val="0"/>
        </w:rPr>
        <w:t xml:space="preserve"> y cuidadores. El diseño prioriza la reducción de la sobrecarga cognitiva mediante controles táctiles de gran tamaño, código visual de colores y un esquema de persistencia híbrido.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jyr9b9ia7j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Visión General de la Arquitectura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se estructura bajo una </w:t>
      </w:r>
      <w:r w:rsidDel="00000000" w:rsidR="00000000" w:rsidRPr="00000000">
        <w:rPr>
          <w:b w:val="1"/>
          <w:bCs w:val="1"/>
          <w:rtl w:val="0"/>
        </w:rPr>
        <w:t xml:space="preserve">arquitectura cliente-servidor desacoplada</w:t>
      </w:r>
      <w:r w:rsidDel="00000000" w:rsidR="00000000" w:rsidRPr="00000000">
        <w:rPr>
          <w:rtl w:val="0"/>
        </w:rPr>
        <w:t xml:space="preserve"> con soporte para funcionamiento fuera de línea: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              CAPA DE PRESENTACIÓN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   React Native + Expo Router + Context API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┌───────────────┴───────────────┐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▼                        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┌───────────────────────┐       ┌───────────────────────┐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PERSISTENCIA LOCAL   │       │  BACKEND EN LA NUBE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AsyncStorage      │       │     Supabase BaaS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(Modo Invitado)     │       │   (Autenticado + RLS)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└───────────────────────┘       └───────────────────────┘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ukezjc1el4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Desglose de Capas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8af7n0fov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Capa de Presentación y Frontend (Móvil)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y Navegación:</w:t>
      </w:r>
      <w:r w:rsidDel="00000000" w:rsidR="00000000" w:rsidRPr="00000000">
        <w:rPr>
          <w:rtl w:val="0"/>
        </w:rPr>
        <w:t xml:space="preserve"> Desarrollada con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Expo Router</w:t>
      </w:r>
      <w:r w:rsidDel="00000000" w:rsidR="00000000" w:rsidRPr="00000000">
        <w:rPr>
          <w:rtl w:val="0"/>
        </w:rPr>
        <w:t xml:space="preserve"> para la gestión declarativa de rutas basadas en archivos (</w:t>
      </w:r>
      <w:r w:rsidDel="00000000" w:rsidR="00000000" w:rsidRPr="00000000">
        <w:rPr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Estado Global (Context API):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ThemeContext</w:t>
      </w:r>
      <w:r w:rsidDel="00000000" w:rsidR="00000000" w:rsidRPr="00000000">
        <w:rPr>
          <w:rtl w:val="0"/>
        </w:rPr>
        <w:t xml:space="preserve">: Manejo dinámico de tema claro/oscuro y alternancia de tipografía aumentada para baja visión.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AlarmContext</w:t>
      </w:r>
      <w:r w:rsidDel="00000000" w:rsidR="00000000" w:rsidRPr="00000000">
        <w:rPr>
          <w:rtl w:val="0"/>
        </w:rPr>
        <w:t xml:space="preserve">: Control centralizado de modales de toma de dosis y retroalimentación háptica/vibración.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Orientado a Accesibilidad (Adulto Mayor):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Cero teclado para horarios:</w:t>
      </w:r>
      <w:r w:rsidDel="00000000" w:rsidR="00000000" w:rsidRPr="00000000">
        <w:rPr>
          <w:rtl w:val="0"/>
        </w:rPr>
        <w:t xml:space="preserve"> Sustitución de entradas numéricas manuales por selectores por pasos (+ / -) con botones amplios y atajos por momentos del día (desayuno, almuerzo, noche).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Apoyo cromático:</w:t>
      </w:r>
      <w:r w:rsidDel="00000000" w:rsidR="00000000" w:rsidRPr="00000000">
        <w:rPr>
          <w:rtl w:val="0"/>
        </w:rPr>
        <w:t xml:space="preserve"> Identificación de comprimidos y envases por paleta de colores para evitar confusiones de fármacos.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Scaffolding de lectura:</w:t>
      </w:r>
      <w:r w:rsidDel="00000000" w:rsidR="00000000" w:rsidRPr="00000000">
        <w:rPr>
          <w:rtl w:val="0"/>
        </w:rPr>
        <w:t xml:space="preserve"> Barras de scroll persistentes e indicadores flotantes que notifican al usuario la presencia de contenido inferior.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ptdpm5xxp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Capa de Persistencia Híbrida (Doble Vía de Almacenamiento)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La aplicación implementa una estrategia dual para garantizar la usabilidad sin barreras de entrada: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Local (Offline / Invitado):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Emplea </w:t>
      </w:r>
      <w:r w:rsidDel="00000000" w:rsidR="00000000" w:rsidRPr="00000000">
        <w:rPr>
          <w:b w:val="1"/>
          <w:bCs w:val="1"/>
          <w:rtl w:val="0"/>
        </w:rPr>
        <w:t xml:space="preserve">AsyncStorage</w:t>
      </w:r>
      <w:r w:rsidDel="00000000" w:rsidR="00000000" w:rsidRPr="00000000">
        <w:rPr>
          <w:rtl w:val="0"/>
        </w:rPr>
        <w:t xml:space="preserve"> para guardar recetas y citas directamente en el disco del teléfono.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Permite probar y utilizar la aplicación sin necesidad de conexión a Internet ni registro previo.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Cloud / Sincronizado (Supabase):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Persistencia en base de datos PostgreSQL alojada en la nube para usuarios registrados.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Carga de datos multi-dispositivo y respaldo en tiempo real.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ncim7pl6h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Capa de Seguridad y Base de Datos (PostgreSQL en Supabase)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El modelo relacional fue saneado y normalizado para evitar acoplamientos por cadenas de texto y garantizar la privacidad médica: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profiles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Extensión 1:1 de </w:t>
      </w:r>
      <w:r w:rsidDel="00000000" w:rsidR="00000000" w:rsidRPr="00000000">
        <w:rPr>
          <w:color w:val="188038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, activada mediante un trigger en base de datos al momento del registro.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recipes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appointments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Relacionadas de forma 1 a Muchos (</w:t>
      </w:r>
      <w:r w:rsidDel="00000000" w:rsidR="00000000" w:rsidRPr="00000000">
        <w:rPr>
          <w:color w:val="188038"/>
          <w:rtl w:val="0"/>
        </w:rPr>
        <w:t xml:space="preserve">1:N</w:t>
      </w:r>
      <w:r w:rsidDel="00000000" w:rsidR="00000000" w:rsidRPr="00000000">
        <w:rPr>
          <w:rtl w:val="0"/>
        </w:rPr>
        <w:t xml:space="preserve">) mediante la clave foránea </w:t>
      </w: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(UUID).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a Nivel de Fila (Row Level Security - RLS):</w:t>
      </w:r>
      <w:r w:rsidDel="00000000" w:rsidR="00000000" w:rsidRPr="00000000">
        <w:rPr>
          <w:rtl w:val="0"/>
        </w:rPr>
        <w:t xml:space="preserve"> Políticas activas en Postgres que impiden que cualquier usuario acceda, edite o borre prescripciones ajenas, resolviendo las brechas de datos abiertos.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7vgfy9xeso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Tabla Resumen de Componentes Técnicos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2325"/>
        <w:gridCol w:w="3930"/>
        <w:tblGridChange w:id="0">
          <w:tblGrid>
            <w:gridCol w:w="2580"/>
            <w:gridCol w:w="2325"/>
            <w:gridCol w:w="3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 Native (Expo)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Renderizado de interfaces táctiles y accesibles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Enrutamiento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Expo Router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Navegación protegida entre paneles y autenticación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AsyncStorage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Persistencia offline para el modo invitado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/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Gestión de identidad, almacenamiento en la nube y RLS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Alertas 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Vibration API + Modales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inmediata al usuario en pantalla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ancfjee776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Decisiones Clave de Diseño y Solución de Problemas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Normalización Relacional:</w:t>
      </w:r>
      <w:r w:rsidDel="00000000" w:rsidR="00000000" w:rsidRPr="00000000">
        <w:rPr>
          <w:rtl w:val="0"/>
        </w:rPr>
        <w:t xml:space="preserve"> Se eliminó la dependencia de buscar registros mediante nombres de paciente en texto (</w:t>
      </w:r>
      <w:r w:rsidDel="00000000" w:rsidR="00000000" w:rsidRPr="00000000">
        <w:rPr>
          <w:color w:val="188038"/>
          <w:rtl w:val="0"/>
        </w:rPr>
        <w:t xml:space="preserve">patient text</w:t>
      </w:r>
      <w:r w:rsidDel="00000000" w:rsidR="00000000" w:rsidRPr="00000000">
        <w:rPr>
          <w:rtl w:val="0"/>
        </w:rPr>
        <w:t xml:space="preserve">), migrando formalmente a identificadores únicos inmutables (</w:t>
      </w:r>
      <w:r w:rsidDel="00000000" w:rsidR="00000000" w:rsidRPr="00000000">
        <w:rPr>
          <w:color w:val="188038"/>
          <w:rtl w:val="0"/>
        </w:rPr>
        <w:t xml:space="preserve">user_id uuid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Robustez ante Módulos Nativos:</w:t>
      </w:r>
      <w:r w:rsidDel="00000000" w:rsidR="00000000" w:rsidRPr="00000000">
        <w:rPr>
          <w:rtl w:val="0"/>
        </w:rPr>
        <w:t xml:space="preserve"> Se descartaron librerías de audio no compiladas (</w:t>
      </w:r>
      <w:r w:rsidDel="00000000" w:rsidR="00000000" w:rsidRPr="00000000">
        <w:rPr>
          <w:color w:val="188038"/>
          <w:rtl w:val="0"/>
        </w:rPr>
        <w:t xml:space="preserve">expo-av</w:t>
      </w:r>
      <w:r w:rsidDel="00000000" w:rsidR="00000000" w:rsidRPr="00000000">
        <w:rPr>
          <w:rtl w:val="0"/>
        </w:rPr>
        <w:t xml:space="preserve">) que rompían la ejecución en entornos de desarrollo, optando por APIs integradas nativas como </w:t>
      </w:r>
      <w:r w:rsidDel="00000000" w:rsidR="00000000" w:rsidRPr="00000000">
        <w:rPr>
          <w:color w:val="188038"/>
          <w:rtl w:val="0"/>
        </w:rPr>
        <w:t xml:space="preserve">Vibration</w:t>
      </w:r>
      <w:r w:rsidDel="00000000" w:rsidR="00000000" w:rsidRPr="00000000">
        <w:rPr>
          <w:rtl w:val="0"/>
        </w:rPr>
        <w:t xml:space="preserve"> para garantizar la estabilidad de la app.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Flexbox Responsivo:</w:t>
      </w:r>
      <w:r w:rsidDel="00000000" w:rsidR="00000000" w:rsidRPr="00000000">
        <w:rPr>
          <w:rtl w:val="0"/>
        </w:rPr>
        <w:t xml:space="preserve"> Ajuste de restricciones flexibles (</w:t>
      </w:r>
      <w:r w:rsidDel="00000000" w:rsidR="00000000" w:rsidRPr="00000000">
        <w:rPr>
          <w:color w:val="188038"/>
          <w:rtl w:val="0"/>
        </w:rPr>
        <w:t xml:space="preserve">minWidth: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flexShrink: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overflow: hidden</w:t>
      </w:r>
      <w:r w:rsidDel="00000000" w:rsidR="00000000" w:rsidRPr="00000000">
        <w:rPr>
          <w:rtl w:val="0"/>
        </w:rPr>
        <w:t xml:space="preserve">) para evitar el truncamiento incorrecto o solapamiento entre títulos y botones de edición.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