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795021E" w14:textId="77777777" w:rsidR="00D73A5B" w:rsidRPr="00D73A5B" w:rsidRDefault="00D73A5B" w:rsidP="00D73A5B">
            <w:pPr>
              <w:jc w:val="both"/>
              <w:rPr>
                <w:rFonts w:ascii="Calibri" w:hAnsi="Calibri" w:cs="Arial"/>
                <w:b/>
                <w:bCs/>
                <w:i/>
                <w:color w:val="548DD4"/>
                <w:sz w:val="20"/>
                <w:szCs w:val="20"/>
                <w:lang w:eastAsia="es-CL"/>
              </w:rPr>
            </w:pPr>
            <w:r w:rsidRPr="00D73A5B">
              <w:rPr>
                <w:rFonts w:ascii="Calibri" w:hAnsi="Calibri" w:cs="Arial"/>
                <w:b/>
                <w:bCs/>
                <w:i/>
                <w:color w:val="548DD4"/>
                <w:sz w:val="20"/>
                <w:szCs w:val="20"/>
                <w:lang w:eastAsia="es-CL"/>
              </w:rPr>
              <w:t xml:space="preserve">Durante este periodo, el equipo conformado por Jorge Garrido, Eduardo González y Matías Riveros ha logrado un progreso técnico sustancial, completando la Fase 1 (Definición y Diseño) y ejecutando con éxito la Fase 2 (Implementación e Integración) del proyecto MediTrack. </w:t>
            </w:r>
          </w:p>
          <w:p w14:paraId="0A7F2B18" w14:textId="7F67F06A" w:rsidR="00D73A5B" w:rsidRPr="00D73A5B" w:rsidRDefault="00D73A5B" w:rsidP="00D73A5B">
            <w:pPr>
              <w:jc w:val="both"/>
              <w:rPr>
                <w:rFonts w:ascii="Calibri" w:hAnsi="Calibri" w:cs="Arial"/>
                <w:b/>
                <w:bCs/>
                <w:i/>
                <w:color w:val="548DD4"/>
                <w:sz w:val="20"/>
                <w:szCs w:val="20"/>
                <w:lang w:eastAsia="es-CL"/>
              </w:rPr>
            </w:pPr>
            <w:r w:rsidRPr="00D73A5B">
              <w:rPr>
                <w:rFonts w:ascii="Calibri" w:hAnsi="Calibri" w:cs="Arial"/>
                <w:b/>
                <w:bCs/>
                <w:i/>
                <w:color w:val="548DD4"/>
                <w:sz w:val="20"/>
                <w:szCs w:val="20"/>
                <w:lang w:eastAsia="es-CL"/>
              </w:rPr>
              <w:t>La aplicación móvil ya se encuentra</w:t>
            </w:r>
            <w:r>
              <w:rPr>
                <w:rFonts w:ascii="Calibri" w:hAnsi="Calibri" w:cs="Arial"/>
                <w:b/>
                <w:bCs/>
                <w:i/>
                <w:color w:val="548DD4"/>
                <w:sz w:val="20"/>
                <w:szCs w:val="20"/>
                <w:lang w:eastAsia="es-CL"/>
              </w:rPr>
              <w:t xml:space="preserve"> </w:t>
            </w:r>
            <w:r w:rsidRPr="00D73A5B">
              <w:rPr>
                <w:rFonts w:ascii="Calibri" w:hAnsi="Calibri" w:cs="Arial"/>
                <w:b/>
                <w:bCs/>
                <w:i/>
                <w:color w:val="548DD4"/>
                <w:sz w:val="20"/>
                <w:szCs w:val="20"/>
                <w:lang w:eastAsia="es-CL"/>
              </w:rPr>
              <w:t>funcional en su flujo principal. Se implementaron las vistas del</w:t>
            </w:r>
            <w:r>
              <w:rPr>
                <w:rFonts w:ascii="Calibri" w:hAnsi="Calibri" w:cs="Arial"/>
                <w:b/>
                <w:bCs/>
                <w:i/>
                <w:color w:val="548DD4"/>
                <w:sz w:val="20"/>
                <w:szCs w:val="20"/>
                <w:lang w:eastAsia="es-CL"/>
              </w:rPr>
              <w:t xml:space="preserve"> </w:t>
            </w:r>
            <w:r w:rsidRPr="00D73A5B">
              <w:rPr>
                <w:rFonts w:ascii="Calibri" w:hAnsi="Calibri" w:cs="Arial"/>
                <w:b/>
                <w:bCs/>
                <w:i/>
                <w:color w:val="548DD4"/>
                <w:sz w:val="20"/>
                <w:szCs w:val="20"/>
                <w:lang w:eastAsia="es-CL"/>
              </w:rPr>
              <w:t>formulario de agendamiento manual y una nueva característica no contemplada en el alcance inicial: la capacidad de añadir fotografías a los medicamentos registrados, mejorando significativamente la experiencia del usuario.</w:t>
            </w:r>
          </w:p>
          <w:p w14:paraId="4BA4EFC4" w14:textId="57DF74B6" w:rsidR="00D73A5B" w:rsidRDefault="00D73A5B" w:rsidP="00D73A5B">
            <w:pPr>
              <w:jc w:val="both"/>
              <w:rPr>
                <w:rFonts w:ascii="Calibri" w:hAnsi="Calibri" w:cs="Arial"/>
                <w:b/>
                <w:bCs/>
                <w:i/>
                <w:color w:val="548DD4"/>
                <w:sz w:val="20"/>
                <w:szCs w:val="20"/>
                <w:lang w:eastAsia="es-CL"/>
              </w:rPr>
            </w:pPr>
            <w:r>
              <w:rPr>
                <w:rFonts w:ascii="Calibri" w:hAnsi="Calibri" w:cs="Arial"/>
                <w:b/>
                <w:bCs/>
                <w:i/>
                <w:color w:val="548DD4"/>
                <w:sz w:val="20"/>
                <w:szCs w:val="20"/>
                <w:lang w:eastAsia="es-CL"/>
              </w:rPr>
              <w:t xml:space="preserve">Otro </w:t>
            </w:r>
            <w:r w:rsidRPr="00D73A5B">
              <w:rPr>
                <w:rFonts w:ascii="Calibri" w:hAnsi="Calibri" w:cs="Arial"/>
                <w:b/>
                <w:bCs/>
                <w:i/>
                <w:color w:val="548DD4"/>
                <w:sz w:val="20"/>
                <w:szCs w:val="20"/>
                <w:lang w:eastAsia="es-CL"/>
              </w:rPr>
              <w:t>hito técnico</w:t>
            </w:r>
            <w:r>
              <w:rPr>
                <w:rFonts w:ascii="Calibri" w:hAnsi="Calibri" w:cs="Arial"/>
                <w:b/>
                <w:bCs/>
                <w:i/>
                <w:color w:val="548DD4"/>
                <w:sz w:val="20"/>
                <w:szCs w:val="20"/>
                <w:lang w:eastAsia="es-CL"/>
              </w:rPr>
              <w:t xml:space="preserve"> </w:t>
            </w:r>
            <w:r w:rsidRPr="00D73A5B">
              <w:rPr>
                <w:rFonts w:ascii="Calibri" w:hAnsi="Calibri" w:cs="Arial"/>
                <w:b/>
                <w:bCs/>
                <w:i/>
                <w:color w:val="548DD4"/>
                <w:sz w:val="20"/>
                <w:szCs w:val="20"/>
                <w:lang w:eastAsia="es-CL"/>
              </w:rPr>
              <w:t xml:space="preserve">destacado de este avance es la implementación exitosa del inicio de sesión mediante Google utilizando el protocolo OAuth 2.0. Esto garantiza un acceso robusto y seguro conectado a Supabase. Actualmente, el equipo ha </w:t>
            </w:r>
            <w:r>
              <w:rPr>
                <w:rFonts w:ascii="Calibri" w:hAnsi="Calibri" w:cs="Arial"/>
                <w:b/>
                <w:bCs/>
                <w:i/>
                <w:color w:val="548DD4"/>
                <w:sz w:val="20"/>
                <w:szCs w:val="20"/>
                <w:lang w:eastAsia="es-CL"/>
              </w:rPr>
              <w:t>adelantado</w:t>
            </w:r>
            <w:r w:rsidRPr="00D73A5B">
              <w:rPr>
                <w:rFonts w:ascii="Calibri" w:hAnsi="Calibri" w:cs="Arial"/>
                <w:b/>
                <w:bCs/>
                <w:i/>
                <w:color w:val="548DD4"/>
                <w:sz w:val="20"/>
                <w:szCs w:val="20"/>
                <w:lang w:eastAsia="es-CL"/>
              </w:rPr>
              <w:t xml:space="preserve"> </w:t>
            </w:r>
            <w:r>
              <w:rPr>
                <w:rFonts w:ascii="Calibri" w:hAnsi="Calibri" w:cs="Arial"/>
                <w:b/>
                <w:bCs/>
                <w:i/>
                <w:color w:val="548DD4"/>
                <w:sz w:val="20"/>
                <w:szCs w:val="20"/>
                <w:lang w:eastAsia="es-CL"/>
              </w:rPr>
              <w:t>el inicio de</w:t>
            </w:r>
            <w:r w:rsidRPr="00D73A5B">
              <w:rPr>
                <w:rFonts w:ascii="Calibri" w:hAnsi="Calibri" w:cs="Arial"/>
                <w:b/>
                <w:bCs/>
                <w:i/>
                <w:color w:val="548DD4"/>
                <w:sz w:val="20"/>
                <w:szCs w:val="20"/>
                <w:lang w:eastAsia="es-CL"/>
              </w:rPr>
              <w:t xml:space="preserve"> la Fase 3, comenzando con la programación técnica de los widgets nativos para la pantalla de inicio y el desarrollo de tareas en segundo plano (Background tasks).</w:t>
            </w:r>
          </w:p>
          <w:p w14:paraId="57BFE697" w14:textId="5D277021" w:rsidR="00327D6B" w:rsidRPr="00D73A5B" w:rsidRDefault="00327D6B" w:rsidP="00D73A5B">
            <w:pPr>
              <w:jc w:val="both"/>
              <w:rPr>
                <w:rFonts w:ascii="Calibri" w:hAnsi="Calibri" w:cs="Arial"/>
                <w:b/>
                <w:bCs/>
                <w:i/>
                <w:color w:val="548DD4"/>
                <w:sz w:val="20"/>
                <w:szCs w:val="20"/>
                <w:lang w:eastAsia="es-CL"/>
              </w:rPr>
            </w:pPr>
            <w:r w:rsidRPr="00327D6B">
              <w:rPr>
                <w:rFonts w:ascii="Calibri" w:hAnsi="Calibri" w:cs="Arial"/>
                <w:b/>
                <w:bCs/>
                <w:i/>
                <w:color w:val="548DD4"/>
                <w:sz w:val="20"/>
                <w:szCs w:val="20"/>
                <w:lang w:eastAsia="es-CL"/>
              </w:rPr>
              <w:t>Adicionalmente, se ampliaron las funciones de accesibilidad enfocadas en los cuidadores y adultos mayores. Se integró un sistema de gestión de perfiles múltiples, permitiendo administrar los tratamientos de distintos miembros de la familia de forma independiente en el mismo dispositivo. Además, se implementó un sistema robusto de notificaciones push locales con alertas vibratorias intrusivas y una función opcional de lectura de alertas en voz alta (Text-to-Speech), que dicta el nombre y la dosis del medicamento cuando la aplicación está en uso, reduciendo considerablemente las barreras tecnológicas para los pacientes.</w:t>
            </w:r>
          </w:p>
          <w:p w14:paraId="44AF8631" w14:textId="77777777" w:rsidR="00D73A5B" w:rsidRPr="00D73A5B" w:rsidRDefault="00D73A5B" w:rsidP="00D73A5B">
            <w:pPr>
              <w:jc w:val="both"/>
              <w:rPr>
                <w:rFonts w:ascii="Calibri" w:hAnsi="Calibri" w:cs="Arial"/>
                <w:i/>
                <w:color w:val="548DD4"/>
                <w:sz w:val="20"/>
                <w:szCs w:val="20"/>
                <w:lang w:eastAsia="es-CL"/>
              </w:rPr>
            </w:pPr>
            <w:r w:rsidRPr="00D73A5B">
              <w:rPr>
                <w:rFonts w:ascii="Calibri" w:hAnsi="Calibri" w:cs="Arial"/>
                <w:b/>
                <w:bCs/>
                <w:i/>
                <w:color w:val="548DD4"/>
                <w:sz w:val="20"/>
                <w:szCs w:val="20"/>
                <w:lang w:eastAsia="es-CL"/>
              </w:rPr>
              <w:t>Ajustes realizados:</w:t>
            </w:r>
          </w:p>
          <w:p w14:paraId="1CBBD873" w14:textId="77777777" w:rsidR="00D73A5B" w:rsidRPr="00D73A5B" w:rsidRDefault="00D73A5B" w:rsidP="00D73A5B">
            <w:pPr>
              <w:numPr>
                <w:ilvl w:val="0"/>
                <w:numId w:val="2"/>
              </w:numPr>
              <w:jc w:val="both"/>
              <w:rPr>
                <w:rFonts w:ascii="Calibri" w:hAnsi="Calibri" w:cs="Arial"/>
                <w:i/>
                <w:color w:val="548DD4"/>
                <w:sz w:val="20"/>
                <w:szCs w:val="20"/>
                <w:lang w:eastAsia="es-CL"/>
              </w:rPr>
            </w:pPr>
            <w:r w:rsidRPr="00D73A5B">
              <w:rPr>
                <w:rFonts w:ascii="Calibri" w:hAnsi="Calibri" w:cs="Arial"/>
                <w:b/>
                <w:bCs/>
                <w:i/>
                <w:color w:val="548DD4"/>
                <w:sz w:val="20"/>
                <w:szCs w:val="20"/>
                <w:lang w:eastAsia="es-CL"/>
              </w:rPr>
              <w:t>Alcance Técnico:</w:t>
            </w:r>
            <w:r w:rsidRPr="00D73A5B">
              <w:rPr>
                <w:rFonts w:ascii="Calibri" w:hAnsi="Calibri" w:cs="Arial"/>
                <w:i/>
                <w:color w:val="548DD4"/>
                <w:sz w:val="20"/>
                <w:szCs w:val="20"/>
                <w:lang w:eastAsia="es-CL"/>
              </w:rPr>
              <w:t xml:space="preserve"> Se activó la alternativa técnica estipulada en la fundamentación original, descartando la extracción automatizada de correos </w:t>
            </w:r>
            <w:r w:rsidRPr="00D73A5B">
              <w:rPr>
                <w:rFonts w:ascii="Calibri" w:hAnsi="Calibri" w:cs="Arial"/>
                <w:i/>
                <w:color w:val="548DD4"/>
                <w:sz w:val="20"/>
                <w:szCs w:val="20"/>
                <w:lang w:eastAsia="es-CL"/>
              </w:rPr>
              <w:lastRenderedPageBreak/>
              <w:t xml:space="preserve">(parseo Regex). El sistema opera ahora bajo un modelo de "agendamiento manual" al 100%, lo que garantiza la viabilidad del proyecto. Sin embargo, </w:t>
            </w:r>
            <w:r w:rsidRPr="00D73A5B">
              <w:rPr>
                <w:rFonts w:ascii="Calibri" w:hAnsi="Calibri" w:cs="Arial"/>
                <w:b/>
                <w:bCs/>
                <w:i/>
                <w:color w:val="548DD4"/>
                <w:sz w:val="20"/>
                <w:szCs w:val="20"/>
                <w:lang w:eastAsia="es-CL"/>
              </w:rPr>
              <w:t>se mantuvo exitosamente el protocolo OAuth 2.0</w:t>
            </w:r>
            <w:r w:rsidRPr="00D73A5B">
              <w:rPr>
                <w:rFonts w:ascii="Calibri" w:hAnsi="Calibri" w:cs="Arial"/>
                <w:i/>
                <w:color w:val="548DD4"/>
                <w:sz w:val="20"/>
                <w:szCs w:val="20"/>
                <w:lang w:eastAsia="es-CL"/>
              </w:rPr>
              <w:t xml:space="preserve"> para la autenticación delegada de usuarios (Google Login), cumpliendo con las competencias de integración de sistemas y ciberseguridad. </w:t>
            </w:r>
          </w:p>
          <w:p w14:paraId="6C70E0C9" w14:textId="35C3DA52" w:rsidR="00D1095F" w:rsidRPr="00487D03" w:rsidRDefault="00D73A5B" w:rsidP="00585A13">
            <w:pPr>
              <w:numPr>
                <w:ilvl w:val="0"/>
                <w:numId w:val="2"/>
              </w:numPr>
              <w:jc w:val="both"/>
              <w:rPr>
                <w:rFonts w:ascii="Calibri" w:hAnsi="Calibri" w:cs="Arial"/>
                <w:i/>
                <w:color w:val="548DD4"/>
                <w:sz w:val="20"/>
                <w:szCs w:val="20"/>
                <w:lang w:eastAsia="es-CL"/>
              </w:rPr>
            </w:pPr>
            <w:r w:rsidRPr="00D73A5B">
              <w:rPr>
                <w:rFonts w:ascii="Calibri" w:hAnsi="Calibri" w:cs="Arial"/>
                <w:b/>
                <w:bCs/>
                <w:i/>
                <w:color w:val="548DD4"/>
                <w:sz w:val="20"/>
                <w:szCs w:val="20"/>
                <w:lang w:eastAsia="es-CL"/>
              </w:rPr>
              <w:t>Cronograma:</w:t>
            </w:r>
            <w:r w:rsidRPr="00D73A5B">
              <w:rPr>
                <w:rFonts w:ascii="Calibri" w:hAnsi="Calibri" w:cs="Arial"/>
                <w:i/>
                <w:color w:val="548DD4"/>
                <w:sz w:val="20"/>
                <w:szCs w:val="20"/>
                <w:lang w:eastAsia="es-CL"/>
              </w:rPr>
              <w:t xml:space="preserve"> La planificación en Microsoft Project fue ajustada de un modelo de hitos simultáneos a una estructura estrictamente secuencial (en cascada) para reflejar de forma precisa las dependencias técnicas entre el backend y el frontend, manteniendo el cumplimiento de los plazos dentro del semestre académico. </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75DC9EF6" w14:textId="77777777" w:rsidR="00487D03" w:rsidRPr="00487D03" w:rsidRDefault="00487D03" w:rsidP="00487D03">
            <w:pPr>
              <w:ind w:left="360"/>
              <w:jc w:val="both"/>
              <w:rPr>
                <w:rFonts w:ascii="Calibri" w:hAnsi="Calibri" w:cs="Arial"/>
                <w:i/>
                <w:color w:val="548DD4"/>
                <w:sz w:val="20"/>
                <w:szCs w:val="20"/>
                <w:lang w:eastAsia="es-CL"/>
              </w:rPr>
            </w:pPr>
            <w:r w:rsidRPr="00487D03">
              <w:rPr>
                <w:rFonts w:ascii="Calibri" w:hAnsi="Calibri" w:cs="Arial"/>
                <w:b/>
                <w:bCs/>
                <w:i/>
                <w:color w:val="548DD4"/>
                <w:sz w:val="20"/>
                <w:szCs w:val="20"/>
                <w:lang w:eastAsia="es-CL"/>
              </w:rPr>
              <w:t>Objetivo general:</w:t>
            </w:r>
            <w:r w:rsidRPr="00487D03">
              <w:rPr>
                <w:rFonts w:ascii="Calibri" w:hAnsi="Calibri" w:cs="Arial"/>
                <w:i/>
                <w:color w:val="548DD4"/>
                <w:sz w:val="20"/>
                <w:szCs w:val="20"/>
                <w:lang w:eastAsia="es-CL"/>
              </w:rPr>
              <w:t xml:space="preserve"> Desarrollar una aplicación móvil interactiva para el seguimiento de atenciones médicas y medicamentos en pacientes crónicos, integrando un backend seguro con autenticación delegada OAuth 2.0, registro manual de datos (con soporte fotográfico) y su despliegue dinámico en un dashboard y widgets de pantalla de inicio. </w:t>
            </w:r>
          </w:p>
          <w:p w14:paraId="3B0ABC4E" w14:textId="77777777" w:rsidR="00487D03" w:rsidRDefault="00487D03" w:rsidP="00487D03">
            <w:pPr>
              <w:ind w:left="360"/>
              <w:jc w:val="both"/>
              <w:rPr>
                <w:rFonts w:ascii="Calibri" w:hAnsi="Calibri" w:cs="Arial"/>
                <w:b/>
                <w:bCs/>
                <w:i/>
                <w:color w:val="548DD4"/>
                <w:sz w:val="20"/>
                <w:szCs w:val="20"/>
                <w:lang w:eastAsia="es-CL"/>
              </w:rPr>
            </w:pPr>
            <w:r w:rsidRPr="00487D03">
              <w:rPr>
                <w:rFonts w:ascii="Calibri" w:hAnsi="Calibri" w:cs="Arial"/>
                <w:b/>
                <w:bCs/>
                <w:i/>
                <w:color w:val="548DD4"/>
                <w:sz w:val="20"/>
                <w:szCs w:val="20"/>
                <w:lang w:eastAsia="es-CL"/>
              </w:rPr>
              <w:t>Objetivos específicos:</w:t>
            </w:r>
          </w:p>
          <w:p w14:paraId="2CCE5DA3" w14:textId="55933FC9" w:rsidR="00487D03" w:rsidRPr="00487D03" w:rsidRDefault="00487D03" w:rsidP="00487D03">
            <w:pPr>
              <w:pStyle w:val="Prrafodelista"/>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Levantar los requerimientos funcionales (UI/UX) específicos para la gestión manual de citas y medicamentos. </w:t>
            </w:r>
          </w:p>
          <w:p w14:paraId="03EB0BC9" w14:textId="77777777" w:rsidR="00487D03" w:rsidRPr="00487D03" w:rsidRDefault="00487D03" w:rsidP="00487D03">
            <w:pPr>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Diseñar la arquitectura de software y el modelo de datos estructurado en la nube (Supabase). </w:t>
            </w:r>
          </w:p>
          <w:p w14:paraId="6B2FE221" w14:textId="77777777" w:rsidR="00487D03" w:rsidRPr="00487D03" w:rsidRDefault="00487D03" w:rsidP="00487D03">
            <w:pPr>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Construir el módulo backend configurando la integración segura del flujo de autenticación OAuth 2.0 (Google), políticas de seguridad y endpoints (CRUD). </w:t>
            </w:r>
          </w:p>
          <w:p w14:paraId="2702EA1A" w14:textId="77777777" w:rsidR="00487D03" w:rsidRPr="00487D03" w:rsidRDefault="00487D03" w:rsidP="00487D03">
            <w:pPr>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Implementar la interfaz móvil funcional compuesta por un dashboard, formularios de registro manual y carga de fotografías. </w:t>
            </w:r>
          </w:p>
          <w:p w14:paraId="35DBA051" w14:textId="77777777" w:rsidR="00487D03" w:rsidRPr="00487D03" w:rsidRDefault="00487D03" w:rsidP="00487D03">
            <w:pPr>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Programar e integrar widgets nativos interactivos para la pantalla de inicio del sistema operativo. </w:t>
            </w:r>
          </w:p>
          <w:p w14:paraId="0DD025FA" w14:textId="162D5B9B" w:rsidR="0003309E" w:rsidRPr="00487D03" w:rsidRDefault="00487D03" w:rsidP="00585A13">
            <w:pPr>
              <w:numPr>
                <w:ilvl w:val="1"/>
                <w:numId w:val="3"/>
              </w:num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Validar el funcionamiento integral mediante pruebas de integración y usabilidad en un entorno controlado. </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D69BB9E" w:rsidR="0003309E" w:rsidRPr="00711C16" w:rsidRDefault="00487D03" w:rsidP="00585A13">
            <w:p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 xml:space="preserve">Si bien el equipo mantiene un enfoque colaborativo iterativo basado en Scrum (con revisión constante de entregables), la planificación formal del cronograma y la Carta Gantt en Microsoft Project se ha adaptado a un </w:t>
            </w:r>
            <w:r w:rsidRPr="00487D03">
              <w:rPr>
                <w:rFonts w:ascii="Calibri" w:hAnsi="Calibri" w:cs="Arial"/>
                <w:b/>
                <w:bCs/>
                <w:i/>
                <w:color w:val="548DD4"/>
                <w:sz w:val="20"/>
                <w:szCs w:val="20"/>
                <w:lang w:eastAsia="es-CL"/>
              </w:rPr>
              <w:t>modelo secuencial (cascada)</w:t>
            </w:r>
            <w:r w:rsidRPr="00487D03">
              <w:rPr>
                <w:rFonts w:ascii="Calibri" w:hAnsi="Calibri" w:cs="Arial"/>
                <w:i/>
                <w:color w:val="548DD4"/>
                <w:sz w:val="20"/>
                <w:szCs w:val="20"/>
                <w:lang w:eastAsia="es-CL"/>
              </w:rPr>
              <w:t>. Este ajuste metodológico fue necesario para resolver limitaciones técnicas de paralelismo y asegurar la trazabilidad estricta de las dependencias críticas del software (garantizando que el backend y Google Cloud estuvieran operativos antes de finalizar la integración móvil), manteniendo el control de la ruta crítica hasta el cierre del proyecto.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82B281B" w14:textId="77777777" w:rsidR="00487D03" w:rsidRPr="00487D03" w:rsidRDefault="00487D03" w:rsidP="00487D03">
            <w:pPr>
              <w:jc w:val="both"/>
              <w:rPr>
                <w:rFonts w:ascii="Calibri" w:hAnsi="Calibri" w:cs="Arial"/>
                <w:i/>
                <w:color w:val="548DD4"/>
                <w:sz w:val="20"/>
                <w:szCs w:val="20"/>
                <w:lang w:eastAsia="es-CL"/>
              </w:rPr>
            </w:pPr>
            <w:r w:rsidRPr="00487D03">
              <w:rPr>
                <w:rFonts w:ascii="Calibri" w:hAnsi="Calibri" w:cs="Arial"/>
                <w:i/>
                <w:color w:val="548DD4"/>
                <w:sz w:val="20"/>
                <w:szCs w:val="20"/>
                <w:lang w:eastAsia="es-CL"/>
              </w:rPr>
              <w:t>Para este informe de avance, se presentan las siguientes evidencias que dan cuenta del desarrollo real del proyecto:</w:t>
            </w:r>
          </w:p>
          <w:p w14:paraId="0AAE85A1" w14:textId="493686B1" w:rsidR="00487D03" w:rsidRPr="00487D03" w:rsidRDefault="00487D03" w:rsidP="00487D03">
            <w:pPr>
              <w:numPr>
                <w:ilvl w:val="0"/>
                <w:numId w:val="4"/>
              </w:numPr>
              <w:jc w:val="both"/>
              <w:rPr>
                <w:rFonts w:ascii="Calibri" w:hAnsi="Calibri" w:cs="Arial"/>
                <w:i/>
                <w:color w:val="548DD4"/>
                <w:sz w:val="20"/>
                <w:szCs w:val="20"/>
                <w:lang w:eastAsia="es-CL"/>
              </w:rPr>
            </w:pPr>
            <w:r w:rsidRPr="00487D03">
              <w:rPr>
                <w:rFonts w:ascii="Calibri" w:hAnsi="Calibri" w:cs="Arial"/>
                <w:b/>
                <w:bCs/>
                <w:i/>
                <w:color w:val="548DD4"/>
                <w:sz w:val="20"/>
                <w:szCs w:val="20"/>
                <w:lang w:eastAsia="es-CL"/>
              </w:rPr>
              <w:t>Repositorio de GitHub</w:t>
            </w:r>
            <w:r>
              <w:rPr>
                <w:rFonts w:ascii="Calibri" w:hAnsi="Calibri" w:cs="Arial"/>
                <w:b/>
                <w:bCs/>
                <w:i/>
                <w:color w:val="548DD4"/>
                <w:sz w:val="20"/>
                <w:szCs w:val="20"/>
                <w:lang w:eastAsia="es-CL"/>
              </w:rPr>
              <w:t xml:space="preserve">: </w:t>
            </w:r>
            <w:r w:rsidRPr="00487D03">
              <w:rPr>
                <w:rFonts w:ascii="Calibri" w:hAnsi="Calibri" w:cs="Arial"/>
                <w:i/>
                <w:color w:val="548DD4"/>
                <w:sz w:val="20"/>
                <w:szCs w:val="20"/>
                <w:lang w:eastAsia="es-CL"/>
              </w:rPr>
              <w:t>Códig</w:t>
            </w:r>
            <w:r>
              <w:rPr>
                <w:rFonts w:ascii="Calibri" w:hAnsi="Calibri" w:cs="Arial"/>
                <w:i/>
                <w:color w:val="548DD4"/>
                <w:sz w:val="20"/>
                <w:szCs w:val="20"/>
                <w:lang w:eastAsia="es-CL"/>
              </w:rPr>
              <w:t>o</w:t>
            </w:r>
            <w:r w:rsidRPr="00487D03">
              <w:rPr>
                <w:rFonts w:ascii="Calibri" w:hAnsi="Calibri" w:cs="Arial"/>
                <w:i/>
                <w:color w:val="548DD4"/>
                <w:sz w:val="20"/>
                <w:szCs w:val="20"/>
                <w:lang w:eastAsia="es-CL"/>
              </w:rPr>
              <w:t xml:space="preserve"> de la aplicación desarrollada en React Native y Expo, demostrando la implementación del Login vía Google, rutas seguras, y el formulario funcional de agendamiento con captura de fotografías. </w:t>
            </w:r>
            <w:r>
              <w:rPr>
                <w:rFonts w:ascii="Calibri" w:hAnsi="Calibri" w:cs="Arial"/>
                <w:i/>
                <w:color w:val="548DD4"/>
                <w:sz w:val="20"/>
                <w:szCs w:val="20"/>
                <w:lang w:eastAsia="es-CL"/>
              </w:rPr>
              <w:t>Además, contiene la documentación requerida en la asignatura.</w:t>
            </w:r>
          </w:p>
          <w:p w14:paraId="64492197" w14:textId="77777777" w:rsidR="00487D03" w:rsidRPr="00487D03" w:rsidRDefault="00487D03" w:rsidP="00487D03">
            <w:pPr>
              <w:numPr>
                <w:ilvl w:val="0"/>
                <w:numId w:val="4"/>
              </w:numPr>
              <w:jc w:val="both"/>
              <w:rPr>
                <w:rFonts w:ascii="Calibri" w:hAnsi="Calibri" w:cs="Arial"/>
                <w:i/>
                <w:color w:val="548DD4"/>
                <w:sz w:val="20"/>
                <w:szCs w:val="20"/>
                <w:lang w:eastAsia="es-CL"/>
              </w:rPr>
            </w:pPr>
            <w:r w:rsidRPr="00487D03">
              <w:rPr>
                <w:rFonts w:ascii="Calibri" w:hAnsi="Calibri" w:cs="Arial"/>
                <w:b/>
                <w:bCs/>
                <w:i/>
                <w:color w:val="548DD4"/>
                <w:sz w:val="20"/>
                <w:szCs w:val="20"/>
                <w:lang w:eastAsia="es-CL"/>
              </w:rPr>
              <w:t>Entorno Backend (Supabase y Google Cloud):</w:t>
            </w:r>
            <w:r w:rsidRPr="00487D03">
              <w:rPr>
                <w:rFonts w:ascii="Calibri" w:hAnsi="Calibri" w:cs="Arial"/>
                <w:i/>
                <w:color w:val="548DD4"/>
                <w:sz w:val="20"/>
                <w:szCs w:val="20"/>
                <w:lang w:eastAsia="es-CL"/>
              </w:rPr>
              <w:t xml:space="preserve"> Configuración en la nube que demuestra la habilitación de la base de datos relacional (PostgreSQL), la integración del proveedor de identidad (Google OAuth 2.0) y el </w:t>
            </w:r>
            <w:r w:rsidRPr="00487D03">
              <w:rPr>
                <w:rFonts w:ascii="Calibri" w:hAnsi="Calibri" w:cs="Arial"/>
                <w:i/>
                <w:iCs/>
                <w:color w:val="548DD4"/>
                <w:sz w:val="20"/>
                <w:szCs w:val="20"/>
                <w:lang w:eastAsia="es-CL"/>
              </w:rPr>
              <w:t>storage bucket</w:t>
            </w:r>
            <w:r w:rsidRPr="00487D03">
              <w:rPr>
                <w:rFonts w:ascii="Calibri" w:hAnsi="Calibri" w:cs="Arial"/>
                <w:i/>
                <w:color w:val="548DD4"/>
                <w:sz w:val="20"/>
                <w:szCs w:val="20"/>
                <w:lang w:eastAsia="es-CL"/>
              </w:rPr>
              <w:t xml:space="preserve"> para almacenar las fotos. </w:t>
            </w:r>
          </w:p>
          <w:p w14:paraId="7E72E07A" w14:textId="77777777" w:rsidR="0003309E" w:rsidRDefault="00487D03" w:rsidP="00487D03">
            <w:pPr>
              <w:numPr>
                <w:ilvl w:val="0"/>
                <w:numId w:val="4"/>
              </w:numPr>
              <w:jc w:val="both"/>
              <w:rPr>
                <w:rFonts w:ascii="Calibri" w:hAnsi="Calibri" w:cs="Arial"/>
                <w:i/>
                <w:color w:val="548DD4"/>
                <w:sz w:val="20"/>
                <w:szCs w:val="20"/>
                <w:lang w:eastAsia="es-CL"/>
              </w:rPr>
            </w:pPr>
            <w:r w:rsidRPr="00487D03">
              <w:rPr>
                <w:rFonts w:ascii="Calibri" w:hAnsi="Calibri" w:cs="Arial"/>
                <w:b/>
                <w:bCs/>
                <w:i/>
                <w:color w:val="548DD4"/>
                <w:sz w:val="20"/>
                <w:szCs w:val="20"/>
                <w:lang w:eastAsia="es-CL"/>
              </w:rPr>
              <w:t>Avance de Código Nativo (Widgets):</w:t>
            </w:r>
            <w:r w:rsidRPr="00487D03">
              <w:rPr>
                <w:rFonts w:ascii="Calibri" w:hAnsi="Calibri" w:cs="Arial"/>
                <w:i/>
                <w:color w:val="548DD4"/>
                <w:sz w:val="20"/>
                <w:szCs w:val="20"/>
                <w:lang w:eastAsia="es-CL"/>
              </w:rPr>
              <w:t xml:space="preserve"> Evidencia del inicio de la programación técnica de los módulos nativos para la visualización de recordatorios en la pantalla de inicio del sistema operativo. </w:t>
            </w:r>
          </w:p>
          <w:p w14:paraId="51E5B895" w14:textId="6E78487F" w:rsidR="00327D6B" w:rsidRPr="00487D03" w:rsidRDefault="00327D6B" w:rsidP="00487D03">
            <w:pPr>
              <w:numPr>
                <w:ilvl w:val="0"/>
                <w:numId w:val="4"/>
              </w:numPr>
              <w:jc w:val="both"/>
              <w:rPr>
                <w:rFonts w:ascii="Calibri" w:hAnsi="Calibri" w:cs="Arial"/>
                <w:i/>
                <w:color w:val="548DD4"/>
                <w:sz w:val="20"/>
                <w:szCs w:val="20"/>
                <w:lang w:eastAsia="es-CL"/>
              </w:rPr>
            </w:pPr>
            <w:r w:rsidRPr="00327D6B">
              <w:rPr>
                <w:rFonts w:ascii="Calibri" w:hAnsi="Calibri" w:cs="Arial"/>
                <w:b/>
                <w:bCs/>
                <w:i/>
                <w:color w:val="548DD4"/>
                <w:sz w:val="20"/>
                <w:szCs w:val="20"/>
                <w:lang w:eastAsia="es-CL"/>
              </w:rPr>
              <w:t>Sistema de Accesibilidad y Alertas:</w:t>
            </w:r>
            <w:r w:rsidRPr="00327D6B">
              <w:rPr>
                <w:rFonts w:ascii="Calibri" w:hAnsi="Calibri" w:cs="Arial"/>
                <w:i/>
                <w:color w:val="548DD4"/>
                <w:sz w:val="20"/>
                <w:szCs w:val="20"/>
                <w:lang w:eastAsia="es-CL"/>
              </w:rPr>
              <w:t xml:space="preserve"> </w:t>
            </w:r>
            <w:r w:rsidR="00B26DF6">
              <w:rPr>
                <w:rFonts w:ascii="Calibri" w:hAnsi="Calibri" w:cs="Arial"/>
                <w:i/>
                <w:color w:val="548DD4"/>
                <w:sz w:val="20"/>
                <w:szCs w:val="20"/>
                <w:lang w:eastAsia="es-CL"/>
              </w:rPr>
              <w:t>I</w:t>
            </w:r>
            <w:r w:rsidRPr="00327D6B">
              <w:rPr>
                <w:rFonts w:ascii="Calibri" w:hAnsi="Calibri" w:cs="Arial"/>
                <w:i/>
                <w:color w:val="548DD4"/>
                <w:sz w:val="20"/>
                <w:szCs w:val="20"/>
                <w:lang w:eastAsia="es-CL"/>
              </w:rPr>
              <w:t>nterfaz funcional que evidencia la creación de múltiples perfiles, la configuración del asistente de voz y los modales nativos de notificación de medicamentos.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E419AF1" w14:textId="1E9E098B" w:rsidR="00CD0716" w:rsidRDefault="00CD0716"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34CB14E1" w:rsidR="00FD5149" w:rsidRPr="006E3B0D" w:rsidRDefault="00FC38A6" w:rsidP="00FD5149">
            <w:pPr>
              <w:jc w:val="both"/>
              <w:rPr>
                <w:b/>
                <w:sz w:val="18"/>
                <w:szCs w:val="24"/>
              </w:rPr>
            </w:pPr>
            <w:r w:rsidRPr="00FC38A6">
              <w:rPr>
                <w:rFonts w:ascii="Calibri" w:hAnsi="Calibri" w:cs="Arial"/>
                <w:i/>
                <w:color w:val="548DD4"/>
                <w:sz w:val="18"/>
                <w:szCs w:val="20"/>
                <w:lang w:eastAsia="es-CL"/>
              </w:rPr>
              <w:t>Gestión de proyectos y análisis de sistemas</w:t>
            </w:r>
          </w:p>
        </w:tc>
        <w:tc>
          <w:tcPr>
            <w:tcW w:w="1077" w:type="dxa"/>
          </w:tcPr>
          <w:p w14:paraId="7B4EBE25" w14:textId="24B223DD" w:rsidR="00FD5149" w:rsidRPr="006E3B0D" w:rsidRDefault="00FC38A6" w:rsidP="00FD5149">
            <w:pPr>
              <w:jc w:val="both"/>
              <w:rPr>
                <w:rFonts w:ascii="Calibri" w:hAnsi="Calibri" w:cs="Arial"/>
                <w:i/>
                <w:color w:val="548DD4"/>
                <w:sz w:val="18"/>
                <w:szCs w:val="20"/>
                <w:lang w:eastAsia="es-CL"/>
              </w:rPr>
            </w:pPr>
            <w:r w:rsidRPr="00FC38A6">
              <w:rPr>
                <w:rFonts w:ascii="Calibri" w:hAnsi="Calibri" w:cs="Arial"/>
                <w:b/>
                <w:bCs/>
                <w:i/>
                <w:color w:val="548DD4"/>
                <w:sz w:val="18"/>
                <w:szCs w:val="20"/>
                <w:lang w:eastAsia="es-CL"/>
              </w:rPr>
              <w:t>A1:</w:t>
            </w:r>
            <w:r w:rsidRPr="00FC38A6">
              <w:rPr>
                <w:rFonts w:ascii="Calibri" w:hAnsi="Calibri" w:cs="Arial"/>
                <w:i/>
                <w:color w:val="548DD4"/>
                <w:sz w:val="18"/>
                <w:szCs w:val="20"/>
                <w:lang w:eastAsia="es-CL"/>
              </w:rPr>
              <w:t xml:space="preserve"> Levantamiento de requerimientos e historias de usuario</w:t>
            </w:r>
          </w:p>
        </w:tc>
        <w:tc>
          <w:tcPr>
            <w:tcW w:w="1276" w:type="dxa"/>
          </w:tcPr>
          <w:p w14:paraId="16E191DF" w14:textId="01536D26" w:rsidR="00FD5149" w:rsidRPr="006E3B0D" w:rsidRDefault="00FC38A6" w:rsidP="00FD5149">
            <w:pPr>
              <w:jc w:val="both"/>
              <w:rPr>
                <w:b/>
                <w:sz w:val="18"/>
                <w:szCs w:val="24"/>
              </w:rPr>
            </w:pPr>
            <w:r w:rsidRPr="00FC38A6">
              <w:rPr>
                <w:rFonts w:ascii="Calibri" w:hAnsi="Calibri" w:cs="Arial"/>
                <w:i/>
                <w:color w:val="548DD4"/>
                <w:sz w:val="18"/>
                <w:szCs w:val="20"/>
                <w:lang w:eastAsia="es-CL"/>
              </w:rPr>
              <w:t>Entrevistas, plantillas de requerimientos, Miro/Notion.</w:t>
            </w:r>
          </w:p>
        </w:tc>
        <w:tc>
          <w:tcPr>
            <w:tcW w:w="1276" w:type="dxa"/>
          </w:tcPr>
          <w:p w14:paraId="66A5D860" w14:textId="49232991" w:rsidR="00FD5149" w:rsidRPr="006E3B0D" w:rsidRDefault="00FC38A6" w:rsidP="00FD5149">
            <w:pPr>
              <w:jc w:val="both"/>
              <w:rPr>
                <w:b/>
                <w:sz w:val="18"/>
                <w:szCs w:val="24"/>
              </w:rPr>
            </w:pPr>
            <w:r w:rsidRPr="00FC38A6">
              <w:rPr>
                <w:rFonts w:ascii="Calibri" w:hAnsi="Calibri" w:cs="Arial"/>
                <w:i/>
                <w:color w:val="548DD4"/>
                <w:sz w:val="18"/>
                <w:szCs w:val="20"/>
                <w:lang w:eastAsia="es-CL"/>
              </w:rPr>
              <w:t>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p w14:paraId="620C911F" w14:textId="2F1629B2" w:rsidR="00CD0716" w:rsidRDefault="00CD0716" w:rsidP="0003309E">
      <w:pPr>
        <w:rPr>
          <w:rFonts w:cs="Calibri Light"/>
          <w:color w:val="EE0000"/>
          <w:sz w:val="24"/>
          <w:szCs w:val="24"/>
          <w:lang w:val="es-ES"/>
        </w:rPr>
      </w:pPr>
      <w:r w:rsidRPr="001324F5">
        <w:rPr>
          <w:rFonts w:cs="Calibri Light"/>
          <w:color w:val="EE0000"/>
          <w:sz w:val="24"/>
          <w:szCs w:val="24"/>
          <w:lang w:val="es-ES"/>
        </w:rPr>
        <w:t xml:space="preserve">Para más comodidad, este </w:t>
      </w:r>
      <w:r w:rsidR="001324F5" w:rsidRPr="001324F5">
        <w:rPr>
          <w:rFonts w:cs="Calibri Light"/>
          <w:color w:val="EE0000"/>
          <w:sz w:val="24"/>
          <w:szCs w:val="24"/>
          <w:lang w:val="es-ES"/>
        </w:rPr>
        <w:t>ítem</w:t>
      </w:r>
      <w:r w:rsidRPr="001324F5">
        <w:rPr>
          <w:rFonts w:cs="Calibri Light"/>
          <w:color w:val="EE0000"/>
          <w:sz w:val="24"/>
          <w:szCs w:val="24"/>
          <w:lang w:val="es-ES"/>
        </w:rPr>
        <w:t xml:space="preserve"> fue desarrollado en un archivo Excel aparte, ubicado en esta misma carpeta (MonitoreoPlanTrabajo.xlsx)</w:t>
      </w:r>
    </w:p>
    <w:p w14:paraId="51DA7A91" w14:textId="77777777" w:rsidR="001324F5" w:rsidRPr="001324F5" w:rsidRDefault="001324F5" w:rsidP="0003309E">
      <w:pPr>
        <w:rPr>
          <w:rFonts w:cs="Calibri Light"/>
          <w:color w:val="EE0000"/>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585DE08" w14:textId="77777777" w:rsidR="00487D03" w:rsidRDefault="00487D03" w:rsidP="00487D03">
            <w:pPr>
              <w:jc w:val="both"/>
              <w:rPr>
                <w:rFonts w:ascii="Calibri" w:hAnsi="Calibri"/>
                <w:b/>
                <w:bCs/>
                <w:color w:val="1F3864" w:themeColor="accent1" w:themeShade="80"/>
              </w:rPr>
            </w:pPr>
          </w:p>
          <w:p w14:paraId="6E80C3EC" w14:textId="77777777" w:rsidR="00487D03" w:rsidRDefault="00487D03" w:rsidP="00487D03">
            <w:pPr>
              <w:jc w:val="both"/>
              <w:rPr>
                <w:rFonts w:ascii="Calibri" w:hAnsi="Calibri"/>
                <w:b/>
                <w:bCs/>
                <w:color w:val="1F3864" w:themeColor="accent1" w:themeShade="80"/>
              </w:rPr>
            </w:pPr>
          </w:p>
          <w:p w14:paraId="11CEB78E" w14:textId="1BA39B12" w:rsidR="00487D03" w:rsidRPr="00487D03" w:rsidRDefault="00487D03" w:rsidP="00487D03">
            <w:pPr>
              <w:jc w:val="both"/>
              <w:rPr>
                <w:rFonts w:ascii="Calibri" w:hAnsi="Calibri"/>
                <w:color w:val="1F3864" w:themeColor="accent1" w:themeShade="80"/>
              </w:rPr>
            </w:pPr>
            <w:r w:rsidRPr="00487D03">
              <w:rPr>
                <w:rFonts w:ascii="Calibri" w:hAnsi="Calibri"/>
                <w:b/>
                <w:bCs/>
                <w:color w:val="1F3864" w:themeColor="accent1" w:themeShade="80"/>
              </w:rPr>
              <w:t>Factores Facilitadores:</w:t>
            </w:r>
          </w:p>
          <w:p w14:paraId="42648CD7" w14:textId="77777777" w:rsidR="00487D03" w:rsidRPr="00487D03" w:rsidRDefault="00487D03" w:rsidP="00487D03">
            <w:pPr>
              <w:numPr>
                <w:ilvl w:val="0"/>
                <w:numId w:val="5"/>
              </w:numPr>
              <w:jc w:val="both"/>
              <w:rPr>
                <w:rFonts w:ascii="Calibri" w:hAnsi="Calibri"/>
                <w:color w:val="1F3864" w:themeColor="accent1" w:themeShade="80"/>
              </w:rPr>
            </w:pPr>
            <w:r w:rsidRPr="00487D03">
              <w:rPr>
                <w:rFonts w:ascii="Calibri" w:hAnsi="Calibri"/>
                <w:b/>
                <w:bCs/>
                <w:color w:val="1F3864" w:themeColor="accent1" w:themeShade="80"/>
              </w:rPr>
              <w:t>Herramientas BaaS (Supabase):</w:t>
            </w:r>
            <w:r w:rsidRPr="00487D03">
              <w:rPr>
                <w:rFonts w:ascii="Calibri" w:hAnsi="Calibri"/>
                <w:color w:val="1F3864" w:themeColor="accent1" w:themeShade="80"/>
              </w:rPr>
              <w:t xml:space="preserve"> Aceleró enormemente la configuración de la base de datos relacional y el almacenamiento en la nube.</w:t>
            </w:r>
          </w:p>
          <w:p w14:paraId="267BEE2C" w14:textId="77777777" w:rsidR="00487D03" w:rsidRPr="00487D03" w:rsidRDefault="00487D03" w:rsidP="00487D03">
            <w:pPr>
              <w:numPr>
                <w:ilvl w:val="0"/>
                <w:numId w:val="5"/>
              </w:numPr>
              <w:jc w:val="both"/>
              <w:rPr>
                <w:rFonts w:ascii="Calibri" w:hAnsi="Calibri"/>
                <w:color w:val="1F3864" w:themeColor="accent1" w:themeShade="80"/>
              </w:rPr>
            </w:pPr>
            <w:r w:rsidRPr="00487D03">
              <w:rPr>
                <w:rFonts w:ascii="Calibri" w:hAnsi="Calibri"/>
                <w:b/>
                <w:bCs/>
                <w:color w:val="1F3864" w:themeColor="accent1" w:themeShade="80"/>
              </w:rPr>
              <w:t>Integración OAuth 2.0:</w:t>
            </w:r>
            <w:r w:rsidRPr="00487D03">
              <w:rPr>
                <w:rFonts w:ascii="Calibri" w:hAnsi="Calibri"/>
                <w:color w:val="1F3864" w:themeColor="accent1" w:themeShade="80"/>
              </w:rPr>
              <w:t xml:space="preserve"> Su implementación exitosa agilizó el sistema de login y permitió cumplir con las competencias de seguridad e integración del perfil de egreso. </w:t>
            </w:r>
          </w:p>
          <w:p w14:paraId="7B6CCE32" w14:textId="77777777" w:rsidR="00487D03" w:rsidRPr="00487D03" w:rsidRDefault="00487D03" w:rsidP="00487D03">
            <w:pPr>
              <w:numPr>
                <w:ilvl w:val="0"/>
                <w:numId w:val="5"/>
              </w:numPr>
              <w:jc w:val="both"/>
              <w:rPr>
                <w:rFonts w:ascii="Calibri" w:hAnsi="Calibri"/>
                <w:color w:val="1F3864" w:themeColor="accent1" w:themeShade="80"/>
              </w:rPr>
            </w:pPr>
            <w:r w:rsidRPr="00487D03">
              <w:rPr>
                <w:rFonts w:ascii="Calibri" w:hAnsi="Calibri"/>
                <w:b/>
                <w:bCs/>
                <w:color w:val="1F3864" w:themeColor="accent1" w:themeShade="80"/>
              </w:rPr>
              <w:t>Prototipado previo:</w:t>
            </w:r>
            <w:r w:rsidRPr="00487D03">
              <w:rPr>
                <w:rFonts w:ascii="Calibri" w:hAnsi="Calibri"/>
                <w:color w:val="1F3864" w:themeColor="accent1" w:themeShade="80"/>
              </w:rPr>
              <w:t xml:space="preserve"> Contar con maquetas de alta fidelidad en Figma (Actividad A2) hizo mucho más fluida la programación de la interfaz móvil. </w:t>
            </w:r>
          </w:p>
          <w:p w14:paraId="182F478E" w14:textId="77777777" w:rsidR="00487D03" w:rsidRPr="00487D03" w:rsidRDefault="00487D03" w:rsidP="00487D03">
            <w:pPr>
              <w:jc w:val="both"/>
              <w:rPr>
                <w:rFonts w:ascii="Calibri" w:hAnsi="Calibri"/>
                <w:color w:val="1F3864" w:themeColor="accent1" w:themeShade="80"/>
              </w:rPr>
            </w:pPr>
            <w:r w:rsidRPr="00487D03">
              <w:rPr>
                <w:rFonts w:ascii="Calibri" w:hAnsi="Calibri"/>
                <w:b/>
                <w:bCs/>
                <w:color w:val="1F3864" w:themeColor="accent1" w:themeShade="80"/>
              </w:rPr>
              <w:t>Dificultades y Acciones Tomadas:</w:t>
            </w:r>
          </w:p>
          <w:p w14:paraId="68D8E1EF" w14:textId="77777777" w:rsidR="00487D03" w:rsidRPr="00487D03" w:rsidRDefault="00487D03" w:rsidP="00487D03">
            <w:pPr>
              <w:numPr>
                <w:ilvl w:val="0"/>
                <w:numId w:val="6"/>
              </w:numPr>
              <w:jc w:val="both"/>
              <w:rPr>
                <w:rFonts w:ascii="Calibri" w:hAnsi="Calibri"/>
                <w:color w:val="1F3864" w:themeColor="accent1" w:themeShade="80"/>
              </w:rPr>
            </w:pPr>
            <w:r w:rsidRPr="00487D03">
              <w:rPr>
                <w:rFonts w:ascii="Calibri" w:hAnsi="Calibri"/>
                <w:b/>
                <w:bCs/>
                <w:color w:val="1F3864" w:themeColor="accent1" w:themeShade="80"/>
              </w:rPr>
              <w:lastRenderedPageBreak/>
              <w:t>Dificultad técnica con el motor Regex:</w:t>
            </w:r>
            <w:r w:rsidRPr="00487D03">
              <w:rPr>
                <w:rFonts w:ascii="Calibri" w:hAnsi="Calibri"/>
                <w:color w:val="1F3864" w:themeColor="accent1" w:themeShade="80"/>
              </w:rPr>
              <w:t xml:space="preserve"> La alta variabilidad de los formatos de correo y las restricciones de privacidad hacían inviable la lectura automatizada, riesgo previsto en la planificación inicial. </w:t>
            </w:r>
          </w:p>
          <w:p w14:paraId="63607560" w14:textId="77777777" w:rsidR="00487D03" w:rsidRPr="00487D03" w:rsidRDefault="00487D03" w:rsidP="00487D03">
            <w:pPr>
              <w:numPr>
                <w:ilvl w:val="1"/>
                <w:numId w:val="6"/>
              </w:numPr>
              <w:jc w:val="both"/>
              <w:rPr>
                <w:rFonts w:ascii="Calibri" w:hAnsi="Calibri"/>
                <w:color w:val="1F3864" w:themeColor="accent1" w:themeShade="80"/>
              </w:rPr>
            </w:pPr>
            <w:r w:rsidRPr="00487D03">
              <w:rPr>
                <w:rFonts w:ascii="Calibri" w:hAnsi="Calibri"/>
                <w:b/>
                <w:bCs/>
                <w:color w:val="1F3864" w:themeColor="accent1" w:themeShade="80"/>
              </w:rPr>
              <w:t>Acción:</w:t>
            </w:r>
            <w:r w:rsidRPr="00487D03">
              <w:rPr>
                <w:rFonts w:ascii="Calibri" w:hAnsi="Calibri"/>
                <w:color w:val="1F3864" w:themeColor="accent1" w:themeShade="80"/>
              </w:rPr>
              <w:t xml:space="preserve"> Se descartó la extracción de correos y se migró a un modelo de agendamiento 100% manual. Para compensar y aportar valor, se desarrolló una nueva funcionalidad para adjuntar fotografías a los medicamentos.</w:t>
            </w:r>
          </w:p>
          <w:p w14:paraId="0683BEC4" w14:textId="77777777" w:rsidR="00487D03" w:rsidRPr="00487D03" w:rsidRDefault="00487D03" w:rsidP="00487D03">
            <w:pPr>
              <w:numPr>
                <w:ilvl w:val="0"/>
                <w:numId w:val="6"/>
              </w:numPr>
              <w:jc w:val="both"/>
              <w:rPr>
                <w:rFonts w:ascii="Calibri" w:hAnsi="Calibri"/>
                <w:color w:val="1F3864" w:themeColor="accent1" w:themeShade="80"/>
              </w:rPr>
            </w:pPr>
            <w:r w:rsidRPr="00487D03">
              <w:rPr>
                <w:rFonts w:ascii="Calibri" w:hAnsi="Calibri"/>
                <w:b/>
                <w:bCs/>
                <w:color w:val="1F3864" w:themeColor="accent1" w:themeShade="80"/>
              </w:rPr>
              <w:t>Limitaciones con MS Project:</w:t>
            </w:r>
            <w:r w:rsidRPr="00487D03">
              <w:rPr>
                <w:rFonts w:ascii="Calibri" w:hAnsi="Calibri"/>
                <w:color w:val="1F3864" w:themeColor="accent1" w:themeShade="80"/>
              </w:rPr>
              <w:t xml:space="preserve"> El software generaba conflictos en la ruta crítica al intentar configurar tareas de desarrollo en simultáneo.</w:t>
            </w:r>
          </w:p>
          <w:p w14:paraId="073A2558" w14:textId="77777777" w:rsidR="00487D03" w:rsidRPr="00487D03" w:rsidRDefault="00487D03" w:rsidP="00487D03">
            <w:pPr>
              <w:numPr>
                <w:ilvl w:val="1"/>
                <w:numId w:val="6"/>
              </w:numPr>
              <w:jc w:val="both"/>
              <w:rPr>
                <w:rFonts w:ascii="Calibri" w:hAnsi="Calibri"/>
                <w:color w:val="1F3864" w:themeColor="accent1" w:themeShade="80"/>
              </w:rPr>
            </w:pPr>
            <w:r w:rsidRPr="00487D03">
              <w:rPr>
                <w:rFonts w:ascii="Calibri" w:hAnsi="Calibri"/>
                <w:b/>
                <w:bCs/>
                <w:color w:val="1F3864" w:themeColor="accent1" w:themeShade="80"/>
              </w:rPr>
              <w:t>Acción:</w:t>
            </w:r>
            <w:r w:rsidRPr="00487D03">
              <w:rPr>
                <w:rFonts w:ascii="Calibri" w:hAnsi="Calibri"/>
                <w:color w:val="1F3864" w:themeColor="accent1" w:themeShade="80"/>
              </w:rPr>
              <w:t xml:space="preserve"> Se reestructuró la Carta Gantt pasando de un enfoque ágil puro a uno estrictamente secuencial (en cascada), asegurando el término del proyecto para el cierre del semestre.</w:t>
            </w:r>
          </w:p>
          <w:p w14:paraId="5CB76706" w14:textId="77777777" w:rsidR="00487D03" w:rsidRPr="00487D03" w:rsidRDefault="00487D03" w:rsidP="00487D03">
            <w:pPr>
              <w:numPr>
                <w:ilvl w:val="0"/>
                <w:numId w:val="6"/>
              </w:numPr>
              <w:jc w:val="both"/>
              <w:rPr>
                <w:rFonts w:ascii="Calibri" w:hAnsi="Calibri"/>
                <w:color w:val="1F3864" w:themeColor="accent1" w:themeShade="80"/>
              </w:rPr>
            </w:pPr>
            <w:r w:rsidRPr="00487D03">
              <w:rPr>
                <w:rFonts w:ascii="Calibri" w:hAnsi="Calibri"/>
                <w:b/>
                <w:bCs/>
                <w:color w:val="1F3864" w:themeColor="accent1" w:themeShade="80"/>
              </w:rPr>
              <w:t>Complejidad de los Widgets (Actividad A7):</w:t>
            </w:r>
            <w:r w:rsidRPr="00487D03">
              <w:rPr>
                <w:rFonts w:ascii="Calibri" w:hAnsi="Calibri"/>
                <w:color w:val="1F3864" w:themeColor="accent1" w:themeShade="80"/>
              </w:rPr>
              <w:t xml:space="preserve"> Se subestimó la dificultad de sincronizar datos en segundo plano (</w:t>
            </w:r>
            <w:r w:rsidRPr="00487D03">
              <w:rPr>
                <w:rFonts w:ascii="Calibri" w:hAnsi="Calibri"/>
                <w:i/>
                <w:iCs/>
                <w:color w:val="1F3864" w:themeColor="accent1" w:themeShade="80"/>
              </w:rPr>
              <w:t>Background tasks</w:t>
            </w:r>
            <w:r w:rsidRPr="00487D03">
              <w:rPr>
                <w:rFonts w:ascii="Calibri" w:hAnsi="Calibri"/>
                <w:color w:val="1F3864" w:themeColor="accent1" w:themeShade="80"/>
              </w:rPr>
              <w:t xml:space="preserve">), tarea asignada originalmente solo al rol frontend. </w:t>
            </w:r>
          </w:p>
          <w:p w14:paraId="02F84B04" w14:textId="77777777" w:rsidR="00487D03" w:rsidRPr="00487D03" w:rsidRDefault="00487D03" w:rsidP="00487D03">
            <w:pPr>
              <w:numPr>
                <w:ilvl w:val="1"/>
                <w:numId w:val="6"/>
              </w:numPr>
              <w:jc w:val="both"/>
              <w:rPr>
                <w:rFonts w:ascii="Calibri" w:hAnsi="Calibri"/>
                <w:color w:val="1F3864" w:themeColor="accent1" w:themeShade="80"/>
              </w:rPr>
            </w:pPr>
            <w:r w:rsidRPr="00487D03">
              <w:rPr>
                <w:rFonts w:ascii="Calibri" w:hAnsi="Calibri"/>
                <w:b/>
                <w:bCs/>
                <w:color w:val="1F3864" w:themeColor="accent1" w:themeShade="80"/>
              </w:rPr>
              <w:t>Acción:</w:t>
            </w:r>
            <w:r w:rsidRPr="00487D03">
              <w:rPr>
                <w:rFonts w:ascii="Calibri" w:hAnsi="Calibri"/>
                <w:color w:val="1F3864" w:themeColor="accent1" w:themeShade="80"/>
              </w:rPr>
              <w:t xml:space="preserve"> Se ajustó la hoja de recursos, integrando al Desarrollador Backend (Jorge Garrido) para que trabaje la lógica de fondo junto al Desarrollador Mobile (Matías Riveros). </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29C498B0" w14:textId="77777777" w:rsidR="00FC38A6" w:rsidRPr="00FC38A6" w:rsidRDefault="00FC38A6" w:rsidP="00FC38A6">
            <w:pPr>
              <w:jc w:val="both"/>
              <w:rPr>
                <w:rFonts w:ascii="Calibri" w:hAnsi="Calibri"/>
                <w:color w:val="1F3864" w:themeColor="accent1" w:themeShade="80"/>
              </w:rPr>
            </w:pPr>
            <w:r w:rsidRPr="00FC38A6">
              <w:rPr>
                <w:rFonts w:ascii="Calibri" w:hAnsi="Calibri"/>
                <w:b/>
                <w:bCs/>
                <w:color w:val="1F3864" w:themeColor="accent1" w:themeShade="80"/>
              </w:rPr>
              <w:t>Actividades ajustadas o eliminadas:</w:t>
            </w:r>
          </w:p>
          <w:p w14:paraId="76225633" w14:textId="77777777" w:rsidR="00FC38A6" w:rsidRPr="00FC38A6" w:rsidRDefault="00FC38A6" w:rsidP="00FC38A6">
            <w:pPr>
              <w:numPr>
                <w:ilvl w:val="0"/>
                <w:numId w:val="7"/>
              </w:numPr>
              <w:jc w:val="both"/>
              <w:rPr>
                <w:rFonts w:ascii="Calibri" w:hAnsi="Calibri"/>
                <w:color w:val="1F3864" w:themeColor="accent1" w:themeShade="80"/>
              </w:rPr>
            </w:pPr>
            <w:r w:rsidRPr="00FC38A6">
              <w:rPr>
                <w:rFonts w:ascii="Calibri" w:hAnsi="Calibri"/>
                <w:b/>
                <w:bCs/>
                <w:color w:val="1F3864" w:themeColor="accent1" w:themeShade="80"/>
              </w:rPr>
              <w:t>Eliminación de la Actividad A5 (Motor de extracción Regex):</w:t>
            </w:r>
            <w:r w:rsidRPr="00FC38A6">
              <w:rPr>
                <w:rFonts w:ascii="Calibri" w:hAnsi="Calibri"/>
                <w:color w:val="1F3864" w:themeColor="accent1" w:themeShade="80"/>
              </w:rPr>
              <w:t xml:space="preserve"> Se descartó la construcción de la lógica para filtrar y parsear correos electrónicos automáticamente. </w:t>
            </w:r>
          </w:p>
          <w:p w14:paraId="1E51E08F" w14:textId="77777777" w:rsidR="00FC38A6" w:rsidRPr="00FC38A6" w:rsidRDefault="00FC38A6" w:rsidP="00FC38A6">
            <w:pPr>
              <w:numPr>
                <w:ilvl w:val="1"/>
                <w:numId w:val="7"/>
              </w:numPr>
              <w:jc w:val="both"/>
              <w:rPr>
                <w:rFonts w:ascii="Calibri" w:hAnsi="Calibri"/>
                <w:color w:val="1F3864" w:themeColor="accent1" w:themeShade="80"/>
              </w:rPr>
            </w:pPr>
            <w:r w:rsidRPr="00FC38A6">
              <w:rPr>
                <w:rFonts w:ascii="Calibri" w:hAnsi="Calibri"/>
                <w:i/>
                <w:iCs/>
                <w:color w:val="1F3864" w:themeColor="accent1" w:themeShade="80"/>
              </w:rPr>
              <w:t>Justificación:</w:t>
            </w:r>
            <w:r w:rsidRPr="00FC38A6">
              <w:rPr>
                <w:rFonts w:ascii="Calibri" w:hAnsi="Calibri"/>
                <w:color w:val="1F3864" w:themeColor="accent1" w:themeShade="80"/>
              </w:rPr>
              <w:t xml:space="preserve"> Tal como se anticipó en los riesgos del proyecto, la heterogeneidad de los formatos de correo de distintas clínicas y las estrictas restricciones de privacidad de las APIs hicieron inviable este enfoque. Se activó la alternativa propuesta inicialmente: aplicar una opción de agendamiento 100% manual. </w:t>
            </w:r>
          </w:p>
          <w:p w14:paraId="46209581" w14:textId="77777777" w:rsidR="00FC38A6" w:rsidRPr="00FC38A6" w:rsidRDefault="00FC38A6" w:rsidP="00FC38A6">
            <w:pPr>
              <w:numPr>
                <w:ilvl w:val="0"/>
                <w:numId w:val="7"/>
              </w:numPr>
              <w:jc w:val="both"/>
              <w:rPr>
                <w:rFonts w:ascii="Calibri" w:hAnsi="Calibri"/>
                <w:color w:val="1F3864" w:themeColor="accent1" w:themeShade="80"/>
              </w:rPr>
            </w:pPr>
            <w:r w:rsidRPr="00FC38A6">
              <w:rPr>
                <w:rFonts w:ascii="Calibri" w:hAnsi="Calibri"/>
                <w:b/>
                <w:bCs/>
                <w:color w:val="1F3864" w:themeColor="accent1" w:themeShade="80"/>
              </w:rPr>
              <w:t>Ajuste en la Actividad A6 (Construcción de app móvil):</w:t>
            </w:r>
            <w:r w:rsidRPr="00FC38A6">
              <w:rPr>
                <w:rFonts w:ascii="Calibri" w:hAnsi="Calibri"/>
                <w:color w:val="1F3864" w:themeColor="accent1" w:themeShade="80"/>
              </w:rPr>
              <w:t xml:space="preserve"> Se reestructuraron los formularios para enfocarlos completamente en el ingreso manual de datos. </w:t>
            </w:r>
          </w:p>
          <w:p w14:paraId="6B14619C" w14:textId="77777777" w:rsidR="00FC38A6" w:rsidRPr="00FC38A6" w:rsidRDefault="00FC38A6" w:rsidP="00FC38A6">
            <w:pPr>
              <w:numPr>
                <w:ilvl w:val="1"/>
                <w:numId w:val="7"/>
              </w:numPr>
              <w:jc w:val="both"/>
              <w:rPr>
                <w:rFonts w:ascii="Calibri" w:hAnsi="Calibri"/>
                <w:color w:val="1F3864" w:themeColor="accent1" w:themeShade="80"/>
              </w:rPr>
            </w:pPr>
            <w:r w:rsidRPr="00FC38A6">
              <w:rPr>
                <w:rFonts w:ascii="Calibri" w:hAnsi="Calibri"/>
                <w:i/>
                <w:iCs/>
                <w:color w:val="1F3864" w:themeColor="accent1" w:themeShade="80"/>
              </w:rPr>
              <w:t>Justificación:</w:t>
            </w:r>
            <w:r w:rsidRPr="00FC38A6">
              <w:rPr>
                <w:rFonts w:ascii="Calibri" w:hAnsi="Calibri"/>
                <w:color w:val="1F3864" w:themeColor="accent1" w:themeShade="80"/>
              </w:rPr>
              <w:t xml:space="preserve"> Para compensar el cambio de alcance y mantener el valor técnico, se mantuvo el protocolo OAuth 2.0 exclusivamente para el inicio de sesión (Google Login) y se agregó una nueva funcionalidad para adjuntar fotografías a los medicamentos.</w:t>
            </w:r>
          </w:p>
          <w:p w14:paraId="07F17F28" w14:textId="77777777" w:rsidR="00FC38A6" w:rsidRPr="00FC38A6" w:rsidRDefault="00FC38A6" w:rsidP="00FC38A6">
            <w:pPr>
              <w:numPr>
                <w:ilvl w:val="0"/>
                <w:numId w:val="7"/>
              </w:numPr>
              <w:jc w:val="both"/>
              <w:rPr>
                <w:rFonts w:ascii="Calibri" w:hAnsi="Calibri"/>
                <w:color w:val="1F3864" w:themeColor="accent1" w:themeShade="80"/>
              </w:rPr>
            </w:pPr>
            <w:r w:rsidRPr="00FC38A6">
              <w:rPr>
                <w:rFonts w:ascii="Calibri" w:hAnsi="Calibri"/>
                <w:b/>
                <w:bCs/>
                <w:color w:val="1F3864" w:themeColor="accent1" w:themeShade="80"/>
              </w:rPr>
              <w:t>Ajuste de recursos en la Actividad A7 (Widgets de inicio):</w:t>
            </w:r>
            <w:r w:rsidRPr="00FC38A6">
              <w:rPr>
                <w:rFonts w:ascii="Calibri" w:hAnsi="Calibri"/>
                <w:color w:val="1F3864" w:themeColor="accent1" w:themeShade="80"/>
              </w:rPr>
              <w:t xml:space="preserve"> Originalmente, esta tarea estaba asignada únicamente al Desarrollador Mobile. </w:t>
            </w:r>
          </w:p>
          <w:p w14:paraId="3B4EBD17" w14:textId="0EB9A4A5" w:rsidR="0003309E" w:rsidRPr="00FC38A6" w:rsidRDefault="00FC38A6" w:rsidP="00C5122E">
            <w:pPr>
              <w:numPr>
                <w:ilvl w:val="1"/>
                <w:numId w:val="7"/>
              </w:numPr>
              <w:jc w:val="both"/>
              <w:rPr>
                <w:rFonts w:ascii="Calibri" w:hAnsi="Calibri"/>
                <w:color w:val="1F3864" w:themeColor="accent1" w:themeShade="80"/>
              </w:rPr>
            </w:pPr>
            <w:r w:rsidRPr="00FC38A6">
              <w:rPr>
                <w:rFonts w:ascii="Calibri" w:hAnsi="Calibri"/>
                <w:i/>
                <w:iCs/>
                <w:color w:val="1F3864" w:themeColor="accent1" w:themeShade="80"/>
              </w:rPr>
              <w:t>Justificación:</w:t>
            </w:r>
            <w:r w:rsidRPr="00FC38A6">
              <w:rPr>
                <w:rFonts w:ascii="Calibri" w:hAnsi="Calibri"/>
                <w:color w:val="1F3864" w:themeColor="accent1" w:themeShade="80"/>
              </w:rPr>
              <w:t xml:space="preserve"> Se observó que la sincronización en segundo plano requiere una fuerte integración con el backend. Se ajustó la hoja de recursos para que fuera desarrollada en conjunto por los encargados de Frontend y Backend.</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23A1636" w14:textId="77777777" w:rsidR="00FC38A6" w:rsidRPr="00FC38A6" w:rsidRDefault="00FC38A6" w:rsidP="00FC38A6">
            <w:pPr>
              <w:jc w:val="both"/>
              <w:rPr>
                <w:rFonts w:ascii="Calibri" w:hAnsi="Calibri"/>
                <w:color w:val="1F3864" w:themeColor="accent1" w:themeShade="80"/>
              </w:rPr>
            </w:pPr>
            <w:r w:rsidRPr="00FC38A6">
              <w:rPr>
                <w:rFonts w:ascii="Calibri" w:hAnsi="Calibri"/>
                <w:b/>
                <w:bCs/>
                <w:color w:val="1F3864" w:themeColor="accent1" w:themeShade="80"/>
              </w:rPr>
              <w:lastRenderedPageBreak/>
              <w:t>Actividades que no has iniciado o están retrasadas:</w:t>
            </w:r>
          </w:p>
          <w:p w14:paraId="3973027D" w14:textId="77777777" w:rsidR="00FC38A6" w:rsidRPr="00FC38A6" w:rsidRDefault="00FC38A6" w:rsidP="00FC38A6">
            <w:pPr>
              <w:jc w:val="both"/>
              <w:rPr>
                <w:rFonts w:ascii="Calibri" w:hAnsi="Calibri"/>
                <w:color w:val="1F3864" w:themeColor="accent1" w:themeShade="80"/>
              </w:rPr>
            </w:pPr>
            <w:r w:rsidRPr="00FC38A6">
              <w:rPr>
                <w:rFonts w:ascii="Calibri" w:hAnsi="Calibri"/>
                <w:color w:val="1F3864" w:themeColor="accent1" w:themeShade="80"/>
              </w:rPr>
              <w:t>Actualmente, no existen actividades retrasadas respecto a la planificación original ni a la Carta Gantt ajustada en Microsoft Project. Por el contrario, el equipo presenta un estado de avance superior al proyectado.</w:t>
            </w:r>
          </w:p>
          <w:p w14:paraId="0C334C68" w14:textId="77777777" w:rsidR="00FC38A6" w:rsidRPr="00FC38A6" w:rsidRDefault="00FC38A6" w:rsidP="00FC38A6">
            <w:pPr>
              <w:numPr>
                <w:ilvl w:val="0"/>
                <w:numId w:val="8"/>
              </w:numPr>
              <w:jc w:val="both"/>
              <w:rPr>
                <w:rFonts w:ascii="Calibri" w:hAnsi="Calibri"/>
                <w:color w:val="1F3864" w:themeColor="accent1" w:themeShade="80"/>
              </w:rPr>
            </w:pPr>
            <w:r w:rsidRPr="00FC38A6">
              <w:rPr>
                <w:rFonts w:ascii="Calibri" w:hAnsi="Calibri"/>
                <w:b/>
                <w:bCs/>
                <w:color w:val="1F3864" w:themeColor="accent1" w:themeShade="80"/>
              </w:rPr>
              <w:t>Motivos del avance:</w:t>
            </w:r>
            <w:r w:rsidRPr="00FC38A6">
              <w:rPr>
                <w:rFonts w:ascii="Calibri" w:hAnsi="Calibri"/>
                <w:color w:val="1F3864" w:themeColor="accent1" w:themeShade="80"/>
              </w:rPr>
              <w:t xml:space="preserve"> Gracias a los ajustes metodológicos aplicados (uso de tecnologías BaaS como Supabase y el cambio estratégico hacia el agendamiento manual), se logró acelerar la construcción de la aplicación móvil y la integración del protocolo OAuth 2.0.</w:t>
            </w:r>
          </w:p>
          <w:p w14:paraId="2706E0D7" w14:textId="77777777" w:rsidR="00FC38A6" w:rsidRPr="00FC38A6" w:rsidRDefault="00FC38A6" w:rsidP="00FC38A6">
            <w:pPr>
              <w:numPr>
                <w:ilvl w:val="0"/>
                <w:numId w:val="8"/>
              </w:numPr>
              <w:jc w:val="both"/>
              <w:rPr>
                <w:rFonts w:ascii="Calibri" w:hAnsi="Calibri"/>
                <w:color w:val="1F3864" w:themeColor="accent1" w:themeShade="80"/>
              </w:rPr>
            </w:pPr>
            <w:r w:rsidRPr="00FC38A6">
              <w:rPr>
                <w:rFonts w:ascii="Calibri" w:hAnsi="Calibri"/>
                <w:b/>
                <w:bCs/>
                <w:color w:val="1F3864" w:themeColor="accent1" w:themeShade="80"/>
              </w:rPr>
              <w:t>Estado actual:</w:t>
            </w:r>
            <w:r w:rsidRPr="00FC38A6">
              <w:rPr>
                <w:rFonts w:ascii="Calibri" w:hAnsi="Calibri"/>
                <w:color w:val="1F3864" w:themeColor="accent1" w:themeShade="80"/>
              </w:rPr>
              <w:t xml:space="preserve"> A la fecha, ya se ha iniciado la programación de los módulos nativos para los widgets de pantalla de inicio (Actividad A7), tarea que originalmente estaba planificada para comenzar en la Fase 3 (semana 12). </w:t>
            </w:r>
          </w:p>
          <w:p w14:paraId="0F4AE7D0" w14:textId="3BCDA56D" w:rsidR="0003309E" w:rsidRPr="00FC38A6" w:rsidRDefault="00FC38A6" w:rsidP="00585A13">
            <w:pPr>
              <w:numPr>
                <w:ilvl w:val="0"/>
                <w:numId w:val="8"/>
              </w:numPr>
              <w:jc w:val="both"/>
              <w:rPr>
                <w:rFonts w:ascii="Calibri" w:hAnsi="Calibri"/>
                <w:color w:val="1F3864" w:themeColor="accent1" w:themeShade="80"/>
              </w:rPr>
            </w:pPr>
            <w:r w:rsidRPr="00FC38A6">
              <w:rPr>
                <w:rFonts w:ascii="Calibri" w:hAnsi="Calibri"/>
                <w:b/>
                <w:bCs/>
                <w:color w:val="1F3864" w:themeColor="accent1" w:themeShade="80"/>
              </w:rPr>
              <w:t>Estrategias:</w:t>
            </w:r>
            <w:r w:rsidRPr="00FC38A6">
              <w:rPr>
                <w:rFonts w:ascii="Calibri" w:hAnsi="Calibri"/>
                <w:color w:val="1F3864" w:themeColor="accent1" w:themeShade="80"/>
              </w:rPr>
              <w:t xml:space="preserve"> Dado que no hay retrasos, no es necesario aplicar estrategias de contingencia. El equipo mantendrá el ritmo actual enfocándose en adelantar las pruebas de integración y usabilidad para asegurar un alto estándar de calidad antes del cierre del semestre.</w:t>
            </w: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559D" w14:textId="77777777" w:rsidR="004B5A16" w:rsidRDefault="004B5A16" w:rsidP="0003309E">
      <w:pPr>
        <w:spacing w:after="0" w:line="240" w:lineRule="auto"/>
      </w:pPr>
      <w:r>
        <w:separator/>
      </w:r>
    </w:p>
  </w:endnote>
  <w:endnote w:type="continuationSeparator" w:id="0">
    <w:p w14:paraId="40335A5C" w14:textId="77777777" w:rsidR="004B5A16" w:rsidRDefault="004B5A1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762B" w14:textId="77777777" w:rsidR="004B5A16" w:rsidRDefault="004B5A16" w:rsidP="0003309E">
      <w:pPr>
        <w:spacing w:after="0" w:line="240" w:lineRule="auto"/>
      </w:pPr>
      <w:r>
        <w:separator/>
      </w:r>
    </w:p>
  </w:footnote>
  <w:footnote w:type="continuationSeparator" w:id="0">
    <w:p w14:paraId="0119931F" w14:textId="77777777" w:rsidR="004B5A16" w:rsidRDefault="004B5A1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1AD7"/>
    <w:multiLevelType w:val="multilevel"/>
    <w:tmpl w:val="6896C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w:eastAsiaTheme="minorHAnsi" w:hAnsi="Calibri" w:cs="Aria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FB0C1D"/>
    <w:multiLevelType w:val="multilevel"/>
    <w:tmpl w:val="BDF0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857C1"/>
    <w:multiLevelType w:val="multilevel"/>
    <w:tmpl w:val="A5D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E331D"/>
    <w:multiLevelType w:val="multilevel"/>
    <w:tmpl w:val="17AC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A908B2"/>
    <w:multiLevelType w:val="multilevel"/>
    <w:tmpl w:val="667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83FF9"/>
    <w:multiLevelType w:val="multilevel"/>
    <w:tmpl w:val="F57E9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66543"/>
    <w:multiLevelType w:val="multilevel"/>
    <w:tmpl w:val="EE8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873097">
    <w:abstractNumId w:val="1"/>
  </w:num>
  <w:num w:numId="2" w16cid:durableId="1937982084">
    <w:abstractNumId w:val="4"/>
  </w:num>
  <w:num w:numId="3" w16cid:durableId="1957328112">
    <w:abstractNumId w:val="0"/>
  </w:num>
  <w:num w:numId="4" w16cid:durableId="988047936">
    <w:abstractNumId w:val="7"/>
  </w:num>
  <w:num w:numId="5" w16cid:durableId="1139765967">
    <w:abstractNumId w:val="5"/>
  </w:num>
  <w:num w:numId="6" w16cid:durableId="1407528678">
    <w:abstractNumId w:val="2"/>
  </w:num>
  <w:num w:numId="7" w16cid:durableId="1115832638">
    <w:abstractNumId w:val="6"/>
  </w:num>
  <w:num w:numId="8" w16cid:durableId="1518422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324F5"/>
    <w:rsid w:val="00145B36"/>
    <w:rsid w:val="00147283"/>
    <w:rsid w:val="001E5E40"/>
    <w:rsid w:val="00213A34"/>
    <w:rsid w:val="00327D6B"/>
    <w:rsid w:val="003608EA"/>
    <w:rsid w:val="00470CE4"/>
    <w:rsid w:val="00487D03"/>
    <w:rsid w:val="004B5A16"/>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4514"/>
    <w:rsid w:val="008479F5"/>
    <w:rsid w:val="0085275A"/>
    <w:rsid w:val="008F621F"/>
    <w:rsid w:val="009378F7"/>
    <w:rsid w:val="009552E5"/>
    <w:rsid w:val="00976ABB"/>
    <w:rsid w:val="009E52DF"/>
    <w:rsid w:val="00B26DF6"/>
    <w:rsid w:val="00B31361"/>
    <w:rsid w:val="00B4258F"/>
    <w:rsid w:val="00B8164D"/>
    <w:rsid w:val="00BE1024"/>
    <w:rsid w:val="00C20F3D"/>
    <w:rsid w:val="00C44557"/>
    <w:rsid w:val="00C5122E"/>
    <w:rsid w:val="00CD0716"/>
    <w:rsid w:val="00CE0AA8"/>
    <w:rsid w:val="00D1095F"/>
    <w:rsid w:val="00D67975"/>
    <w:rsid w:val="00D714E2"/>
    <w:rsid w:val="00D73A5B"/>
    <w:rsid w:val="00DF3386"/>
    <w:rsid w:val="00E50368"/>
    <w:rsid w:val="00EA0C09"/>
    <w:rsid w:val="00FC38A6"/>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487D03"/>
    <w:pPr>
      <w:ind w:left="720"/>
      <w:contextualSpacing/>
    </w:pPr>
  </w:style>
  <w:style w:type="character" w:styleId="Fuerte">
    <w:name w:val="Strong"/>
    <w:basedOn w:val="Fuentedeprrafopredeter"/>
    <w:uiPriority w:val="22"/>
    <w:qFormat/>
    <w:rsid w:val="00FC38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GUILLERMO GONZALEZ SILVA</cp:lastModifiedBy>
  <cp:revision>8</cp:revision>
  <dcterms:created xsi:type="dcterms:W3CDTF">2022-08-24T18:14:00Z</dcterms:created>
  <dcterms:modified xsi:type="dcterms:W3CDTF">2026-10-26T01:19:00Z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