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39CB7C2A" w14:textId="77777777" w:rsidR="0068573B" w:rsidRPr="0068573B" w:rsidRDefault="0068573B" w:rsidP="0068573B">
            <w:pPr>
              <w:jc w:val="both"/>
              <w:rPr>
                <w:rFonts w:ascii="Calibri" w:hAnsi="Calibri"/>
                <w:b/>
                <w:bCs/>
                <w:color w:val="1F4E79" w:themeColor="accent1" w:themeShade="80"/>
              </w:rPr>
            </w:pPr>
            <w:r w:rsidRPr="0068573B">
              <w:rPr>
                <w:rFonts w:ascii="Calibri" w:hAnsi="Calibri"/>
                <w:b/>
                <w:bCs/>
                <w:color w:val="1F4E79" w:themeColor="accent1" w:themeShade="80"/>
              </w:rPr>
              <w:t>Sí, hemos logrado cumplir con todas las actividades e incluso nos encontramos adelantados respecto al cronograma original, habiendo iniciado ya la Fase 3 de manera anticipada.</w:t>
            </w:r>
          </w:p>
          <w:p w14:paraId="4E6718BF" w14:textId="77777777" w:rsidR="0068573B" w:rsidRPr="0068573B" w:rsidRDefault="0068573B" w:rsidP="0068573B">
            <w:pPr>
              <w:numPr>
                <w:ilvl w:val="0"/>
                <w:numId w:val="41"/>
              </w:numPr>
              <w:jc w:val="both"/>
              <w:rPr>
                <w:rFonts w:ascii="Calibri" w:hAnsi="Calibri"/>
                <w:b/>
                <w:bCs/>
                <w:color w:val="1F4E79" w:themeColor="accent1" w:themeShade="80"/>
              </w:rPr>
            </w:pPr>
            <w:r w:rsidRPr="0068573B">
              <w:rPr>
                <w:rFonts w:ascii="Calibri" w:hAnsi="Calibri"/>
                <w:b/>
                <w:bCs/>
                <w:color w:val="1F4E79" w:themeColor="accent1" w:themeShade="80"/>
              </w:rPr>
              <w:t xml:space="preserve">Factores facilitadores: Contar con maquetas de alta fidelidad en Figma me permitió estructurar la interfaz rápidamente. Además, el uso de herramientas </w:t>
            </w:r>
            <w:r w:rsidRPr="0068573B">
              <w:rPr>
                <w:rFonts w:ascii="Calibri" w:hAnsi="Calibri"/>
                <w:b/>
                <w:bCs/>
                <w:i/>
                <w:iCs/>
                <w:color w:val="1F4E79" w:themeColor="accent1" w:themeShade="80"/>
              </w:rPr>
              <w:t>Backend as a Service</w:t>
            </w:r>
            <w:r w:rsidRPr="0068573B">
              <w:rPr>
                <w:rFonts w:ascii="Calibri" w:hAnsi="Calibri"/>
                <w:b/>
                <w:bCs/>
                <w:color w:val="1F4E79" w:themeColor="accent1" w:themeShade="80"/>
              </w:rPr>
              <w:t xml:space="preserve"> (Supabase) aceleró drásticamente la configuración de la base de datos y el flujo OAuth 2.0. La metodología ágil (Scrum) fue clave para adaptarnos rápido a los cambios. </w:t>
            </w:r>
          </w:p>
          <w:p w14:paraId="005AF647" w14:textId="47C24ACA" w:rsidR="004F2A8B" w:rsidRDefault="0068573B" w:rsidP="3D28A338">
            <w:pPr>
              <w:numPr>
                <w:ilvl w:val="0"/>
                <w:numId w:val="41"/>
              </w:numPr>
              <w:jc w:val="both"/>
              <w:rPr>
                <w:rFonts w:ascii="Calibri" w:hAnsi="Calibri"/>
                <w:b/>
                <w:bCs/>
                <w:color w:val="1F4E79" w:themeColor="accent1" w:themeShade="80"/>
              </w:rPr>
            </w:pPr>
            <w:r w:rsidRPr="0068573B">
              <w:rPr>
                <w:rFonts w:ascii="Calibri" w:hAnsi="Calibri"/>
                <w:b/>
                <w:bCs/>
                <w:color w:val="1F4E79" w:themeColor="accent1" w:themeShade="80"/>
              </w:rPr>
              <w:t>Factores dificultadores: La principal barrera fue técnica: las restricciones de privacidad y la variabilidad del HTML en los correos médicos hicieron inviable desarrollar el motor Regex (Actividad A5). Asimismo,</w:t>
            </w:r>
            <w:r>
              <w:rPr>
                <w:rFonts w:ascii="Calibri" w:hAnsi="Calibri"/>
                <w:b/>
                <w:bCs/>
                <w:color w:val="1F4E79" w:themeColor="accent1" w:themeShade="80"/>
              </w:rPr>
              <w:t xml:space="preserve"> </w:t>
            </w:r>
            <w:r w:rsidRPr="0068573B">
              <w:rPr>
                <w:rFonts w:ascii="Calibri" w:hAnsi="Calibri"/>
                <w:b/>
                <w:bCs/>
                <w:color w:val="1F4E79" w:themeColor="accent1" w:themeShade="80"/>
              </w:rPr>
              <w:t xml:space="preserve">descubrimos que la programación de widgets (Actividad A7) requería mayor integración de la esperada. </w:t>
            </w:r>
          </w:p>
          <w:p w14:paraId="1F17CAF9" w14:textId="6A29BC0A" w:rsidR="0068573B" w:rsidRPr="0068573B" w:rsidRDefault="0068573B" w:rsidP="0068573B">
            <w:pPr>
              <w:ind w:left="720"/>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B968EB1" w14:textId="77777777" w:rsidR="0068573B" w:rsidRDefault="0068573B" w:rsidP="3D28A338">
            <w:pPr>
              <w:jc w:val="both"/>
              <w:rPr>
                <w:rFonts w:eastAsiaTheme="majorEastAsia"/>
                <w:color w:val="767171" w:themeColor="background2" w:themeShade="80"/>
                <w:sz w:val="24"/>
                <w:szCs w:val="24"/>
              </w:rPr>
            </w:pPr>
          </w:p>
          <w:p w14:paraId="62E3C578" w14:textId="77777777" w:rsidR="0068573B" w:rsidRDefault="0068573B" w:rsidP="3D28A338">
            <w:pPr>
              <w:jc w:val="both"/>
              <w:rPr>
                <w:rFonts w:eastAsiaTheme="majorEastAsia"/>
                <w:color w:val="767171" w:themeColor="background2" w:themeShade="80"/>
                <w:sz w:val="24"/>
                <w:szCs w:val="24"/>
              </w:rPr>
            </w:pPr>
            <w:r w:rsidRPr="0068573B">
              <w:rPr>
                <w:rFonts w:eastAsiaTheme="majorEastAsia"/>
                <w:color w:val="767171" w:themeColor="background2" w:themeShade="80"/>
                <w:sz w:val="24"/>
                <w:szCs w:val="24"/>
              </w:rPr>
              <w:t>Enfrentamos la caída del motor Regex aplicando un "pivot" estratégico: descartamos la extracción automatizada y migramos a un modelo de agendamiento 100% manual. Para compensar y aportar mayor valor a la experiencia de usuario (mi rol principal), implementamos nuevas características no planificadas: soporte fotográfico para medicamentos, un sistema de perfiles múltiples para cuidadores, alertas vibratorias y lectura de notificaciones mediante voz (Text-to-Speech).</w:t>
            </w:r>
          </w:p>
          <w:p w14:paraId="7BC4D618" w14:textId="00F46B06" w:rsidR="004F2A8B" w:rsidRPr="00874D16" w:rsidRDefault="004F2A8B" w:rsidP="0068573B">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646FDD97" w14:textId="77777777" w:rsidR="0068573B" w:rsidRDefault="0068573B" w:rsidP="3D28A338">
            <w:pPr>
              <w:jc w:val="both"/>
              <w:rPr>
                <w:rFonts w:ascii="Calibri" w:hAnsi="Calibri"/>
                <w:b/>
                <w:bCs/>
                <w:color w:val="1F4E79" w:themeColor="accent1" w:themeShade="80"/>
              </w:rPr>
            </w:pPr>
            <w:r w:rsidRPr="0068573B">
              <w:rPr>
                <w:rFonts w:ascii="Calibri" w:hAnsi="Calibri"/>
                <w:b/>
                <w:bCs/>
                <w:color w:val="1F4E79" w:themeColor="accent1" w:themeShade="80"/>
              </w:rPr>
              <w:t>Evalúo nuestro trabajo de manera sobresaliente. Como Scrum Master y encargado de UX, destaco nuestra capacidad de resiliencia y adaptación: en lugar de estancarnos frente a una barrera técnica insuperable (lectura de correos), fuimos capaces de proponer soluciones enfocadas 100% en la accesibilidad para el adulto mayor y los cuidadores, mejorando el producto final.</w:t>
            </w:r>
          </w:p>
          <w:p w14:paraId="3BE9AC1F" w14:textId="03BC105D" w:rsidR="004F2A8B" w:rsidRDefault="0068573B" w:rsidP="3D28A338">
            <w:pPr>
              <w:jc w:val="both"/>
              <w:rPr>
                <w:rFonts w:ascii="Calibri" w:hAnsi="Calibri"/>
                <w:b/>
                <w:bCs/>
                <w:color w:val="1F4E79" w:themeColor="accent1" w:themeShade="80"/>
              </w:rPr>
            </w:pPr>
            <w:r w:rsidRPr="0068573B">
              <w:rPr>
                <w:rFonts w:ascii="Calibri" w:hAnsi="Calibri"/>
                <w:b/>
                <w:bCs/>
                <w:color w:val="1F4E79" w:themeColor="accent1" w:themeShade="80"/>
              </w:rPr>
              <w:t>Para mejorar, creo que debemos ser más precavidos en la fase de estimación de tiempos (Planning), ya que subestimamos la enorme complejidad que implica sincronizar datos asíncronos en segundo plano (Background tasks) para el sistema operativo móvil.</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7A0D8C1F" w14:textId="77777777" w:rsidR="0068573B" w:rsidRDefault="0068573B" w:rsidP="3D28A338">
            <w:pPr>
              <w:jc w:val="both"/>
              <w:rPr>
                <w:rFonts w:eastAsiaTheme="majorEastAsia"/>
                <w:sz w:val="24"/>
                <w:szCs w:val="24"/>
              </w:rPr>
            </w:pPr>
          </w:p>
          <w:p w14:paraId="21F13ECF" w14:textId="77777777" w:rsidR="0068573B" w:rsidRPr="0068573B" w:rsidRDefault="0068573B" w:rsidP="0068573B">
            <w:pPr>
              <w:jc w:val="both"/>
              <w:rPr>
                <w:rFonts w:eastAsiaTheme="majorEastAsia"/>
                <w:color w:val="767171" w:themeColor="background2" w:themeShade="80"/>
                <w:sz w:val="24"/>
                <w:szCs w:val="24"/>
              </w:rPr>
            </w:pPr>
            <w:r w:rsidRPr="0068573B">
              <w:rPr>
                <w:rFonts w:eastAsiaTheme="majorEastAsia"/>
                <w:color w:val="767171" w:themeColor="background2" w:themeShade="80"/>
                <w:sz w:val="24"/>
                <w:szCs w:val="24"/>
              </w:rPr>
              <w:t>Nuestra principal inquietud se centra en la defensa final y la evaluación del portafolio. Las preguntas para nuestro docente guía serían:</w:t>
            </w:r>
          </w:p>
          <w:p w14:paraId="3F035A40" w14:textId="77777777" w:rsidR="0068573B" w:rsidRPr="0068573B" w:rsidRDefault="0068573B" w:rsidP="0068573B">
            <w:pPr>
              <w:numPr>
                <w:ilvl w:val="0"/>
                <w:numId w:val="42"/>
              </w:numPr>
              <w:jc w:val="both"/>
              <w:rPr>
                <w:rFonts w:eastAsiaTheme="majorEastAsia"/>
                <w:color w:val="767171" w:themeColor="background2" w:themeShade="80"/>
                <w:sz w:val="24"/>
                <w:szCs w:val="24"/>
              </w:rPr>
            </w:pPr>
            <w:r w:rsidRPr="0068573B">
              <w:rPr>
                <w:rFonts w:eastAsiaTheme="majorEastAsia"/>
                <w:color w:val="767171" w:themeColor="background2" w:themeShade="80"/>
                <w:sz w:val="24"/>
                <w:szCs w:val="24"/>
              </w:rPr>
              <w:t>¿Cuál es la mejor estrategia documental para que la comisión evaluadora perciba nuestro cambio de alcance (pivot de extracción automática a carga manual con accesibilidad avanzada) como una muestra de madurez profesional y gestión de riesgos, en lugar de un retroceso?</w:t>
            </w:r>
          </w:p>
          <w:p w14:paraId="5BB3B444" w14:textId="3791AAFD" w:rsidR="004F2A8B" w:rsidRPr="0068573B" w:rsidRDefault="0068573B" w:rsidP="3D28A338">
            <w:pPr>
              <w:numPr>
                <w:ilvl w:val="0"/>
                <w:numId w:val="42"/>
              </w:numPr>
              <w:jc w:val="both"/>
              <w:rPr>
                <w:rFonts w:eastAsiaTheme="majorEastAsia"/>
                <w:color w:val="767171" w:themeColor="background2" w:themeShade="80"/>
                <w:sz w:val="24"/>
                <w:szCs w:val="24"/>
              </w:rPr>
            </w:pPr>
            <w:r w:rsidRPr="0068573B">
              <w:rPr>
                <w:rFonts w:eastAsiaTheme="majorEastAsia"/>
                <w:color w:val="767171" w:themeColor="background2" w:themeShade="80"/>
                <w:sz w:val="24"/>
                <w:szCs w:val="24"/>
              </w:rPr>
              <w:t>¿Cómo recomiendan estructurar la demostración técnica (Demo) para probar en vivo y sin fallos las notificaciones push en segundo plano y los widgets interactivos?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B6F258B" w14:textId="77777777" w:rsidR="0068573B" w:rsidRDefault="0068573B" w:rsidP="3D28A338">
            <w:pPr>
              <w:jc w:val="both"/>
              <w:rPr>
                <w:rFonts w:eastAsiaTheme="majorEastAsia"/>
                <w:sz w:val="24"/>
                <w:szCs w:val="24"/>
              </w:rPr>
            </w:pPr>
          </w:p>
          <w:p w14:paraId="3C35FF15" w14:textId="4DE21F35" w:rsidR="004F2A8B" w:rsidRDefault="0068573B" w:rsidP="3D28A338">
            <w:pPr>
              <w:jc w:val="both"/>
              <w:rPr>
                <w:rFonts w:eastAsiaTheme="majorEastAsia"/>
                <w:color w:val="767171" w:themeColor="background2" w:themeShade="80"/>
                <w:sz w:val="24"/>
                <w:szCs w:val="24"/>
              </w:rPr>
            </w:pPr>
            <w:r w:rsidRPr="0068573B">
              <w:rPr>
                <w:rFonts w:eastAsiaTheme="majorEastAsia"/>
                <w:color w:val="767171" w:themeColor="background2" w:themeShade="80"/>
                <w:sz w:val="24"/>
                <w:szCs w:val="24"/>
              </w:rPr>
              <w:t>Sí, ya hemos aplicado una redistribución de esfuerzos. Originalmente, la Actividad A7 (Programación de widgets de pantalla de inicio) estaba asignada de forma exclusiva a Matías Riveros, nuestro desarrollador Mobile &amp; Frontend. Al descubrir que la sincronización en segundo plano requiere un manejo profundo de los endpoints y estados, redistribuimos la tarea para que Jorge Garrido (Desarrollador Backend) asuma la construcción de la lógica asíncrona de fondo, trabajando ahora ambos en conjunto para sacar adelante esta funcionalidad crítica.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6BFC1E3" w14:textId="77777777" w:rsidR="0068573B" w:rsidRPr="0068573B" w:rsidRDefault="0068573B" w:rsidP="0068573B">
            <w:pPr>
              <w:jc w:val="both"/>
              <w:rPr>
                <w:rFonts w:eastAsiaTheme="majorEastAsia"/>
                <w:color w:val="767171" w:themeColor="background2" w:themeShade="80"/>
                <w:sz w:val="24"/>
                <w:szCs w:val="24"/>
              </w:rPr>
            </w:pPr>
            <w:r w:rsidRPr="0068573B">
              <w:rPr>
                <w:rFonts w:eastAsiaTheme="majorEastAsia"/>
                <w:color w:val="767171" w:themeColor="background2" w:themeShade="80"/>
                <w:sz w:val="24"/>
                <w:szCs w:val="24"/>
              </w:rPr>
              <w:t>Evaluamos el trabajo en equipo de forma muy positiva.</w:t>
            </w:r>
          </w:p>
          <w:p w14:paraId="457DFB61" w14:textId="77777777" w:rsidR="0068573B" w:rsidRPr="0068573B" w:rsidRDefault="0068573B" w:rsidP="0068573B">
            <w:pPr>
              <w:numPr>
                <w:ilvl w:val="0"/>
                <w:numId w:val="43"/>
              </w:numPr>
              <w:jc w:val="both"/>
              <w:rPr>
                <w:rFonts w:eastAsiaTheme="majorEastAsia"/>
                <w:color w:val="767171" w:themeColor="background2" w:themeShade="80"/>
                <w:sz w:val="24"/>
                <w:szCs w:val="24"/>
              </w:rPr>
            </w:pPr>
            <w:r w:rsidRPr="0068573B">
              <w:rPr>
                <w:rFonts w:eastAsiaTheme="majorEastAsia"/>
                <w:b/>
                <w:bCs/>
                <w:color w:val="767171" w:themeColor="background2" w:themeShade="80"/>
                <w:sz w:val="24"/>
                <w:szCs w:val="24"/>
              </w:rPr>
              <w:t>Aspectos positivos:</w:t>
            </w:r>
            <w:r w:rsidRPr="0068573B">
              <w:rPr>
                <w:rFonts w:eastAsiaTheme="majorEastAsia"/>
                <w:color w:val="767171" w:themeColor="background2" w:themeShade="80"/>
                <w:sz w:val="24"/>
                <w:szCs w:val="24"/>
              </w:rPr>
              <w:t xml:space="preserve"> Destacamos nuestra excelente sinergia y madurez para tomar decisiones difíciles sin generar conflictos internos. Cuando algo no funcionaba, el equipo se enfocó en buscar alternativas (como los perfiles y Text-to-Speech) en lugar de buscar culpables, demostrando un alto compromiso con el proyecto "MediTrack". </w:t>
            </w:r>
          </w:p>
          <w:p w14:paraId="739A6F94" w14:textId="65585D62" w:rsidR="004F2A8B" w:rsidRPr="0068573B" w:rsidRDefault="0068573B" w:rsidP="3D28A338">
            <w:pPr>
              <w:numPr>
                <w:ilvl w:val="0"/>
                <w:numId w:val="43"/>
              </w:numPr>
              <w:jc w:val="both"/>
              <w:rPr>
                <w:rFonts w:eastAsiaTheme="majorEastAsia"/>
                <w:color w:val="767171" w:themeColor="background2" w:themeShade="80"/>
                <w:sz w:val="24"/>
                <w:szCs w:val="24"/>
              </w:rPr>
            </w:pPr>
            <w:r w:rsidRPr="0068573B">
              <w:rPr>
                <w:rFonts w:eastAsiaTheme="majorEastAsia"/>
                <w:b/>
                <w:bCs/>
                <w:color w:val="767171" w:themeColor="background2" w:themeShade="80"/>
                <w:sz w:val="24"/>
                <w:szCs w:val="24"/>
              </w:rPr>
              <w:t>Aspectos por mejorar:</w:t>
            </w:r>
            <w:r w:rsidRPr="0068573B">
              <w:rPr>
                <w:rFonts w:eastAsiaTheme="majorEastAsia"/>
                <w:color w:val="767171" w:themeColor="background2" w:themeShade="80"/>
                <w:sz w:val="24"/>
                <w:szCs w:val="24"/>
              </w:rPr>
              <w:t xml:space="preserve"> Podríamos mejorar la documentación "en tiempo real" de nuestros cambios. Al tener un ritmo de desarrollo tan ágil, a veces tomamos decisiones técnicas importantes sobre la marcha que demoramos un par de días en reflejar formalmente en las bitácoras o documentos de la asignatura.</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C9BAB" w14:textId="77777777" w:rsidR="00054284" w:rsidRDefault="00054284" w:rsidP="00DF38AE">
      <w:pPr>
        <w:spacing w:after="0" w:line="240" w:lineRule="auto"/>
      </w:pPr>
      <w:r>
        <w:separator/>
      </w:r>
    </w:p>
  </w:endnote>
  <w:endnote w:type="continuationSeparator" w:id="0">
    <w:p w14:paraId="45D2C4E0" w14:textId="77777777" w:rsidR="00054284" w:rsidRDefault="0005428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CD2F8" w14:textId="77777777" w:rsidR="00054284" w:rsidRDefault="00054284" w:rsidP="00DF38AE">
      <w:pPr>
        <w:spacing w:after="0" w:line="240" w:lineRule="auto"/>
      </w:pPr>
      <w:r>
        <w:separator/>
      </w:r>
    </w:p>
  </w:footnote>
  <w:footnote w:type="continuationSeparator" w:id="0">
    <w:p w14:paraId="58FAA81E" w14:textId="77777777" w:rsidR="00054284" w:rsidRDefault="0005428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3AA175A"/>
    <w:multiLevelType w:val="multilevel"/>
    <w:tmpl w:val="2FEC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9965A5"/>
    <w:multiLevelType w:val="multilevel"/>
    <w:tmpl w:val="503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9A74DCC"/>
    <w:multiLevelType w:val="multilevel"/>
    <w:tmpl w:val="C75E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77309144">
    <w:abstractNumId w:val="3"/>
  </w:num>
  <w:num w:numId="2" w16cid:durableId="502357881">
    <w:abstractNumId w:val="8"/>
  </w:num>
  <w:num w:numId="3" w16cid:durableId="482623674">
    <w:abstractNumId w:val="12"/>
  </w:num>
  <w:num w:numId="4" w16cid:durableId="1396513517">
    <w:abstractNumId w:val="30"/>
  </w:num>
  <w:num w:numId="5" w16cid:durableId="1548107653">
    <w:abstractNumId w:val="32"/>
  </w:num>
  <w:num w:numId="6" w16cid:durableId="1693143513">
    <w:abstractNumId w:val="4"/>
  </w:num>
  <w:num w:numId="7" w16cid:durableId="2115129941">
    <w:abstractNumId w:val="11"/>
  </w:num>
  <w:num w:numId="8" w16cid:durableId="1558856373">
    <w:abstractNumId w:val="19"/>
  </w:num>
  <w:num w:numId="9" w16cid:durableId="1544707037">
    <w:abstractNumId w:val="15"/>
  </w:num>
  <w:num w:numId="10" w16cid:durableId="432170720">
    <w:abstractNumId w:val="9"/>
  </w:num>
  <w:num w:numId="11" w16cid:durableId="1096168256">
    <w:abstractNumId w:val="25"/>
  </w:num>
  <w:num w:numId="12" w16cid:durableId="2109419742">
    <w:abstractNumId w:val="38"/>
  </w:num>
  <w:num w:numId="13" w16cid:durableId="1589926171">
    <w:abstractNumId w:val="31"/>
  </w:num>
  <w:num w:numId="14" w16cid:durableId="524363944">
    <w:abstractNumId w:val="1"/>
  </w:num>
  <w:num w:numId="15" w16cid:durableId="598831173">
    <w:abstractNumId w:val="39"/>
  </w:num>
  <w:num w:numId="16" w16cid:durableId="547379084">
    <w:abstractNumId w:val="22"/>
  </w:num>
  <w:num w:numId="17" w16cid:durableId="1627348558">
    <w:abstractNumId w:val="17"/>
  </w:num>
  <w:num w:numId="18" w16cid:durableId="286544399">
    <w:abstractNumId w:val="33"/>
  </w:num>
  <w:num w:numId="19" w16cid:durableId="970280173">
    <w:abstractNumId w:val="10"/>
  </w:num>
  <w:num w:numId="20" w16cid:durableId="669137659">
    <w:abstractNumId w:val="42"/>
  </w:num>
  <w:num w:numId="21" w16cid:durableId="19279646">
    <w:abstractNumId w:val="36"/>
  </w:num>
  <w:num w:numId="22" w16cid:durableId="777410649">
    <w:abstractNumId w:val="13"/>
  </w:num>
  <w:num w:numId="23" w16cid:durableId="2052226987">
    <w:abstractNumId w:val="14"/>
  </w:num>
  <w:num w:numId="24" w16cid:durableId="1956015254">
    <w:abstractNumId w:val="5"/>
  </w:num>
  <w:num w:numId="25" w16cid:durableId="1863980682">
    <w:abstractNumId w:val="16"/>
  </w:num>
  <w:num w:numId="26" w16cid:durableId="660739925">
    <w:abstractNumId w:val="20"/>
  </w:num>
  <w:num w:numId="27" w16cid:durableId="1350185212">
    <w:abstractNumId w:val="24"/>
  </w:num>
  <w:num w:numId="28" w16cid:durableId="327098888">
    <w:abstractNumId w:val="0"/>
  </w:num>
  <w:num w:numId="29" w16cid:durableId="2121948025">
    <w:abstractNumId w:val="18"/>
  </w:num>
  <w:num w:numId="30" w16cid:durableId="1620377652">
    <w:abstractNumId w:val="23"/>
  </w:num>
  <w:num w:numId="31" w16cid:durableId="45836368">
    <w:abstractNumId w:val="2"/>
  </w:num>
  <w:num w:numId="32" w16cid:durableId="157812095">
    <w:abstractNumId w:val="7"/>
  </w:num>
  <w:num w:numId="33" w16cid:durableId="454520574">
    <w:abstractNumId w:val="34"/>
  </w:num>
  <w:num w:numId="34" w16cid:durableId="1819956495">
    <w:abstractNumId w:val="41"/>
  </w:num>
  <w:num w:numId="35" w16cid:durableId="1712488287">
    <w:abstractNumId w:val="6"/>
  </w:num>
  <w:num w:numId="36" w16cid:durableId="1662152300">
    <w:abstractNumId w:val="27"/>
  </w:num>
  <w:num w:numId="37" w16cid:durableId="1147939632">
    <w:abstractNumId w:val="40"/>
  </w:num>
  <w:num w:numId="38" w16cid:durableId="98913705">
    <w:abstractNumId w:val="29"/>
  </w:num>
  <w:num w:numId="39" w16cid:durableId="952445091">
    <w:abstractNumId w:val="28"/>
  </w:num>
  <w:num w:numId="40" w16cid:durableId="369764575">
    <w:abstractNumId w:val="35"/>
  </w:num>
  <w:num w:numId="41" w16cid:durableId="1756780823">
    <w:abstractNumId w:val="26"/>
  </w:num>
  <w:num w:numId="42" w16cid:durableId="163131231">
    <w:abstractNumId w:val="21"/>
  </w:num>
  <w:num w:numId="43" w16cid:durableId="714280234">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284"/>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573B"/>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23C6"/>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806</Words>
  <Characters>4435</Characters>
  <Application>Microsoft Office Word</Application>
  <DocSecurity>0</DocSecurity>
  <Lines>36</Lines>
  <Paragraphs>10</Paragraphs>
  <ScaleCrop>false</ScaleCrop>
  <Company>Wal-Mart Stores, Inc.</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GUILLERMO GONZALEZ SILVA</cp:lastModifiedBy>
  <cp:revision>43</cp:revision>
  <cp:lastPrinted>2019-12-16T20:10:00Z</cp:lastPrinted>
  <dcterms:created xsi:type="dcterms:W3CDTF">2021-12-31T12:50:00Z</dcterms:created>
  <dcterms:modified xsi:type="dcterms:W3CDTF">2026-10-28T14:59:00Z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