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488" w14:textId="5B4A2930" w:rsidR="006149B7" w:rsidRDefault="006149B7" w:rsidP="004C4DB9">
      <w:pPr>
        <w:contextualSpacing/>
        <w:rPr>
          <w:rFonts w:ascii="Lato" w:eastAsia="Times New Roman" w:hAnsi="Lato" w:cs="Times New Roman"/>
        </w:rPr>
      </w:pPr>
      <w:r>
        <w:rPr>
          <w:rFonts w:ascii="Lato" w:eastAsia="Times New Roman" w:hAnsi="Lato" w:cs="Times New Roman"/>
        </w:rPr>
        <w:t>1.2 Background</w:t>
      </w:r>
    </w:p>
    <w:p w14:paraId="5F2B12F8" w14:textId="77777777" w:rsidR="006149B7" w:rsidRDefault="006149B7" w:rsidP="004C4DB9">
      <w:pPr>
        <w:contextualSpacing/>
        <w:rPr>
          <w:rFonts w:ascii="Lato" w:eastAsia="Times New Roman" w:hAnsi="Lato" w:cs="Times New Roman"/>
        </w:rPr>
      </w:pPr>
    </w:p>
    <w:p w14:paraId="2DDDBE3D" w14:textId="3A8D70BF" w:rsidR="000F76D5" w:rsidRPr="00E56B51" w:rsidRDefault="0051059E" w:rsidP="004C4DB9">
      <w:pPr>
        <w:contextualSpacing/>
        <w:rPr>
          <w:rFonts w:ascii="Lato" w:eastAsia="Times New Roman" w:hAnsi="Lato" w:cs="Times New Roman"/>
        </w:rPr>
      </w:pPr>
      <w:r w:rsidRPr="00E56B51">
        <w:rPr>
          <w:rFonts w:ascii="Lato" w:eastAsia="Times New Roman" w:hAnsi="Lato" w:cs="Times New Roman"/>
        </w:rPr>
        <w:t>Housing crises are not a new occurrence- two other large crises have come to pass, namely the 1926 mass foreclosure instance</w:t>
      </w:r>
      <w:r w:rsidR="00E56B51" w:rsidRPr="00E56B51">
        <w:rPr>
          <w:rFonts w:ascii="Lato" w:eastAsia="Times New Roman" w:hAnsi="Lato" w:cs="Times New Roman"/>
        </w:rPr>
        <w:t xml:space="preserve">, </w:t>
      </w:r>
      <w:r w:rsidRPr="00E56B51">
        <w:rPr>
          <w:rFonts w:ascii="Lato" w:eastAsia="Times New Roman" w:hAnsi="Lato" w:cs="Times New Roman"/>
        </w:rPr>
        <w:t>tied to the stock market downturn and eventual Great Depression</w:t>
      </w:r>
      <w:r w:rsidR="00E56B51" w:rsidRPr="00E56B51">
        <w:rPr>
          <w:rFonts w:ascii="Lato" w:eastAsia="Times New Roman" w:hAnsi="Lato" w:cs="Times New Roman"/>
        </w:rPr>
        <w:t>,</w:t>
      </w:r>
      <w:r w:rsidRPr="00E56B51">
        <w:rPr>
          <w:rFonts w:ascii="Lato" w:eastAsia="Times New Roman" w:hAnsi="Lato" w:cs="Times New Roman"/>
        </w:rPr>
        <w:t xml:space="preserve"> and the 2008 housing bubble</w:t>
      </w:r>
      <w:r w:rsidR="00E56B51" w:rsidRPr="00E56B51">
        <w:rPr>
          <w:rFonts w:ascii="Lato" w:eastAsia="Times New Roman" w:hAnsi="Lato" w:cs="Times New Roman"/>
        </w:rPr>
        <w:t xml:space="preserve">, </w:t>
      </w:r>
      <w:r w:rsidRPr="00E56B51">
        <w:rPr>
          <w:rFonts w:ascii="Lato" w:eastAsia="Times New Roman" w:hAnsi="Lato" w:cs="Times New Roman"/>
        </w:rPr>
        <w:t>tied to the Great Recession</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{"citationID":"nzyvOySn","properties":{"formattedCitation":"(Daniel Hertz 2015)","plainCitation":"(Daniel Hertz 2015)","noteIndex":0},"citationItems":[{"id":198,"uris":["http://zotero.org/users/7000530/items/4B7T2HG5"],"uri":["http://zotero.org/users/7000530/items/4B7T2HG5"],"itemData":{"id":198,"type":"webpage","container-title":"CityObservatory","title":"The immaculate conception theory of your neighborhood’s origins","title-short":"The immaculate conception theory","URL":"https://cityobservatory.org/the-immaculate-conception-theory-of-your-neighborhoods-origins/","author":[{"literal":"Daniel Hertz"}],"issued":{"date-parts":[["2015",9,24]]}}}],"schema":"https://github.com/citation-style-language/schema/raw/master/csl-citation.json"}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(Daniel Hertz 2015)</w:t>
      </w:r>
      <w:r w:rsidR="00E56B51" w:rsidRPr="00E56B51">
        <w:rPr>
          <w:rFonts w:ascii="Lato" w:eastAsia="Times New Roman" w:hAnsi="Lato" w:cs="Times New Roman"/>
        </w:rPr>
        <w:fldChar w:fldCharType="end"/>
      </w:r>
      <w:r w:rsidRPr="00E56B51">
        <w:rPr>
          <w:rFonts w:ascii="Lato" w:eastAsia="Times New Roman" w:hAnsi="Lato" w:cs="Times New Roman"/>
        </w:rPr>
        <w:t xml:space="preserve">. However, those most affected by these tend to be those residents who are lower and middle class. Further, people of color are disproportionately affected by these events. Even for renters in the previous two instances of housing crises, the effect upon homeowners and constriction of the market brought a burden downwards, increasing rental prices further. Today, the housing crisis is almost entirely in the realm of rent prices. The experience that the grand majority of those from working class up to, and including, college students face is severe rent costs- a burden which previous generations went without. For many like me, housing increasingly takes a larger share of our annual income, restricting ability to afford </w:t>
      </w:r>
      <w:proofErr w:type="gramStart"/>
      <w:r w:rsidRPr="00E56B51">
        <w:rPr>
          <w:rFonts w:ascii="Lato" w:eastAsia="Times New Roman" w:hAnsi="Lato" w:cs="Times New Roman"/>
        </w:rPr>
        <w:t>basic necessities</w:t>
      </w:r>
      <w:proofErr w:type="gramEnd"/>
      <w:r w:rsidRPr="00E56B51">
        <w:rPr>
          <w:rFonts w:ascii="Lato" w:eastAsia="Times New Roman" w:hAnsi="Lato" w:cs="Times New Roman"/>
        </w:rPr>
        <w:t>, as well as eroding leisure time as the amount of work hours needed to survive increases. The housing crisis today is further complicated and fueled by an endless desire to raise the valuation of homes by traditionally white, upper-middle class homeowners. This group over the last 70 or so years has been able to effectively seize control of city and state land use policy</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{"citationID":"uZgB3sFj","properties":{"formattedCitation":"(Brinig and Garnett 2013)","plainCitation":"(Brinig and Garnett 2013)","noteIndex":0},"citationItems":[{"id":153,"uris":["http://zotero.org/users/7000530/items/4TTAI5N5"],"uri":["http://zotero.org/users/7000530/items/4TTAI5N5"],"itemData":{"id":153,"type":"article-journal","container-title":"The Urban Lawyer","ISSN":"00420905, 19426593","issue":"3","note":"Citation Key: 10.2307/24392672\npublisher: American Bar Association","page":"519–569","title":"A room of one's own? Accessory dwelling unit reforms and local parochialism","volume":"45","author":[{"family":"Brinig","given":"Margaret F."},{"family":"Garnett","given":"Nicole Stelle"}],"issued":{"date-parts":[["2013"]]}}}],"schema":"https://github.com/citation-style-language/schema/raw/master/csl-citation.json"}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(Brinig and Garnett 2013)</w:t>
      </w:r>
      <w:r w:rsidR="00E56B51" w:rsidRPr="00E56B51">
        <w:rPr>
          <w:rFonts w:ascii="Lato" w:eastAsia="Times New Roman" w:hAnsi="Lato" w:cs="Times New Roman"/>
        </w:rPr>
        <w:fldChar w:fldCharType="end"/>
      </w:r>
      <w:r w:rsidRPr="00E56B51">
        <w:rPr>
          <w:rFonts w:ascii="Lato" w:eastAsia="Times New Roman" w:hAnsi="Lato" w:cs="Times New Roman"/>
        </w:rPr>
        <w:t>. Due to this commodification of the housing market, increasing amounts of residents are becoming homeless and unable to find a foothold back into</w:t>
      </w:r>
      <w:r w:rsidR="00EB1FFA">
        <w:rPr>
          <w:rFonts w:ascii="Lato" w:eastAsia="Times New Roman" w:hAnsi="Lato" w:cs="Times New Roman"/>
        </w:rPr>
        <w:t xml:space="preserve"> permanent</w:t>
      </w:r>
      <w:r w:rsidRPr="00E56B51">
        <w:rPr>
          <w:rFonts w:ascii="Lato" w:eastAsia="Times New Roman" w:hAnsi="Lato" w:cs="Times New Roman"/>
        </w:rPr>
        <w:t xml:space="preserve"> </w:t>
      </w:r>
      <w:r w:rsidR="0037238D">
        <w:rPr>
          <w:rFonts w:ascii="Lato" w:eastAsia="Times New Roman" w:hAnsi="Lato" w:cs="Times New Roman"/>
        </w:rPr>
        <w:t>housing</w:t>
      </w:r>
      <w:r w:rsidRPr="00E56B51">
        <w:rPr>
          <w:rFonts w:ascii="Lato" w:eastAsia="Times New Roman" w:hAnsi="Lato" w:cs="Times New Roman"/>
        </w:rPr>
        <w:t>. Further, Covid19 has exacerbated this reality.</w:t>
      </w:r>
    </w:p>
    <w:p w14:paraId="5D6F2796" w14:textId="0C4E9BBC" w:rsidR="000F76D5" w:rsidRPr="00E56B51" w:rsidRDefault="000F76D5" w:rsidP="004C4DB9">
      <w:pPr>
        <w:contextualSpacing/>
        <w:rPr>
          <w:rFonts w:ascii="Lato" w:eastAsia="Times New Roman" w:hAnsi="Lato" w:cs="Times New Roman"/>
        </w:rPr>
      </w:pPr>
    </w:p>
    <w:p w14:paraId="3EB92089" w14:textId="46483A86" w:rsidR="000F76D5" w:rsidRPr="00E56B51" w:rsidRDefault="0051059E" w:rsidP="004C4DB9">
      <w:pPr>
        <w:contextualSpacing/>
        <w:rPr>
          <w:rFonts w:ascii="Lato" w:eastAsia="Times New Roman" w:hAnsi="Lato" w:cs="Times New Roman"/>
        </w:rPr>
      </w:pPr>
      <w:r w:rsidRPr="00E56B51">
        <w:rPr>
          <w:rFonts w:ascii="Lato" w:eastAsia="Times New Roman" w:hAnsi="Lato" w:cs="Times New Roman"/>
        </w:rPr>
        <w:t>The behaviors that govern this issue are systemic</w:t>
      </w:r>
      <w:r w:rsidR="00E56B51" w:rsidRPr="00E56B51">
        <w:rPr>
          <w:rFonts w:ascii="Lato" w:eastAsia="Times New Roman" w:hAnsi="Lato" w:cs="Times New Roman"/>
        </w:rPr>
        <w:t xml:space="preserve">, but also unconscious for the most part on one side of the aisle. The </w:t>
      </w:r>
      <w:proofErr w:type="gramStart"/>
      <w:r w:rsidR="00E56B51" w:rsidRPr="00E56B51">
        <w:rPr>
          <w:rFonts w:ascii="Lato" w:eastAsia="Times New Roman" w:hAnsi="Lato" w:cs="Times New Roman"/>
        </w:rPr>
        <w:t>aforementioned homeowners</w:t>
      </w:r>
      <w:proofErr w:type="gramEnd"/>
      <w:r w:rsidR="00E56B51" w:rsidRPr="00E56B51">
        <w:rPr>
          <w:rFonts w:ascii="Lato" w:eastAsia="Times New Roman" w:hAnsi="Lato" w:cs="Times New Roman"/>
        </w:rPr>
        <w:t xml:space="preserve"> who make up the bulk of those attending municipal meetings regarding land use and urban expansion are fighting for their own interests. This is not a desire to price out others from purchasing their first home, but </w:t>
      </w:r>
      <w:r w:rsidR="00EB1FFA">
        <w:rPr>
          <w:rFonts w:ascii="Lato" w:eastAsia="Times New Roman" w:hAnsi="Lato" w:cs="Times New Roman"/>
        </w:rPr>
        <w:t xml:space="preserve">rather the </w:t>
      </w:r>
      <w:r w:rsidR="00FB06BE">
        <w:rPr>
          <w:rFonts w:ascii="Lato" w:eastAsia="Times New Roman" w:hAnsi="Lato" w:cs="Times New Roman"/>
        </w:rPr>
        <w:t xml:space="preserve">desire to increase their home valuation. Historically however, </w:t>
      </w:r>
      <w:r w:rsidR="00E56B51" w:rsidRPr="00E56B51">
        <w:rPr>
          <w:rFonts w:ascii="Lato" w:eastAsia="Times New Roman" w:hAnsi="Lato" w:cs="Times New Roman"/>
        </w:rPr>
        <w:t xml:space="preserve">some have actively used this exclusionary strategy to deter black and brown people from integrating into suburbs for example. On the other hand, there are housing activists fighting for a more just and affordable reality for city-dwellers. Driven primarily </w:t>
      </w:r>
      <w:r w:rsidR="005D64B8">
        <w:rPr>
          <w:rFonts w:ascii="Lato" w:eastAsia="Times New Roman" w:hAnsi="Lato" w:cs="Times New Roman"/>
        </w:rPr>
        <w:t>by</w:t>
      </w:r>
      <w:r w:rsidR="00E56B51" w:rsidRPr="00E56B51">
        <w:rPr>
          <w:rFonts w:ascii="Lato" w:eastAsia="Times New Roman" w:hAnsi="Lato" w:cs="Times New Roman"/>
        </w:rPr>
        <w:t xml:space="preserve"> the philosophy of new urbanism, this discourse primarily relates to ideas such as rent control, public housing options, expanding multifamily residential zoning, and the creation of more green spaces</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{"citationID":"6ZjZIf2R","properties":{"formattedCitation":"(Brinig and Garnett 2013)","plainCitation":"(Brinig and Garnett 2013)","noteIndex":0},"citationItems":[{"id":153,"uris":["http://zotero.org/users/7000530/items/4TTAI5N5"],"uri":["http://zotero.org/users/7000530/items/4TTAI5N5"],"itemData":{"id":153,"type":"article-journal","container-title":"The Urban Lawyer","ISSN":"00420905, 19426593","issue":"3","note":"Citation Key: 10.2307/24392672\npublisher: American Bar Association","page":"519–569","title":"A room of one's own? Accessory dwelling unit reforms and local parochialism","volume":"45","author":[{"family":"Brinig","given":"Margaret F."},{"family":"Garnett","given":"Nicole Stelle"}],"issued":{"date-parts":[["2013"]]}}}],"schema":"https://github.com/citation-style-language/schema/raw/master/csl-citation.json"}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(Brinig and Garnett 2013)</w:t>
      </w:r>
      <w:r w:rsidR="00E56B51" w:rsidRPr="00E56B51">
        <w:rPr>
          <w:rFonts w:ascii="Lato" w:eastAsia="Times New Roman" w:hAnsi="Lato" w:cs="Times New Roman"/>
        </w:rPr>
        <w:fldChar w:fldCharType="end"/>
      </w:r>
      <w:r w:rsidR="00E56B51" w:rsidRPr="00E56B51">
        <w:rPr>
          <w:rFonts w:ascii="Lato" w:eastAsia="Times New Roman" w:hAnsi="Lato" w:cs="Times New Roman"/>
        </w:rPr>
        <w:t xml:space="preserve">. </w:t>
      </w:r>
    </w:p>
    <w:p w14:paraId="2BB77908" w14:textId="77777777" w:rsidR="00AE7F4C" w:rsidRDefault="00AE7F4C" w:rsidP="00921191">
      <w:pPr>
        <w:rPr>
          <w:rFonts w:ascii="Lato" w:eastAsia="Times New Roman" w:hAnsi="Lato" w:cs="Times New Roman"/>
        </w:rPr>
      </w:pPr>
    </w:p>
    <w:p w14:paraId="7407C54A" w14:textId="3E5A719A" w:rsidR="00921191" w:rsidRPr="00921191" w:rsidRDefault="005D1FF0" w:rsidP="00921191">
      <w:pPr>
        <w:rPr>
          <w:rFonts w:ascii="Lato" w:eastAsia="Times New Roman" w:hAnsi="Lato" w:cs="Times New Roman"/>
        </w:rPr>
      </w:pPr>
      <w:r>
        <w:rPr>
          <w:rFonts w:ascii="Lato" w:eastAsia="Times New Roman" w:hAnsi="Lato" w:cs="Times New Roman"/>
        </w:rPr>
        <w:t>In the United States,</w:t>
      </w:r>
      <w:r w:rsidR="00E56B51" w:rsidRPr="00921191">
        <w:rPr>
          <w:rFonts w:ascii="Lato" w:eastAsia="Times New Roman" w:hAnsi="Lato" w:cs="Times New Roman"/>
        </w:rPr>
        <w:t xml:space="preserve"> the </w:t>
      </w:r>
      <w:r>
        <w:rPr>
          <w:rFonts w:ascii="Lato" w:eastAsia="Times New Roman" w:hAnsi="Lato" w:cs="Times New Roman"/>
        </w:rPr>
        <w:t>traditional</w:t>
      </w:r>
      <w:r w:rsidR="00E56B51" w:rsidRPr="00921191">
        <w:rPr>
          <w:rFonts w:ascii="Lato" w:eastAsia="Times New Roman" w:hAnsi="Lato" w:cs="Times New Roman"/>
        </w:rPr>
        <w:t xml:space="preserve"> method to </w:t>
      </w:r>
      <w:r w:rsidR="00F342C2">
        <w:rPr>
          <w:rFonts w:ascii="Lato" w:eastAsia="Times New Roman" w:hAnsi="Lato" w:cs="Times New Roman"/>
        </w:rPr>
        <w:t>grow your financial worth</w:t>
      </w:r>
      <w:r w:rsidR="00E56B51" w:rsidRPr="00921191">
        <w:rPr>
          <w:rFonts w:ascii="Lato" w:eastAsia="Times New Roman" w:hAnsi="Lato" w:cs="Times New Roman"/>
        </w:rPr>
        <w:t xml:space="preserve"> is </w:t>
      </w:r>
      <w:r w:rsidR="00F342C2">
        <w:rPr>
          <w:rFonts w:ascii="Lato" w:eastAsia="Times New Roman" w:hAnsi="Lato" w:cs="Times New Roman"/>
        </w:rPr>
        <w:t>through the process of becoming a homeowner</w:t>
      </w:r>
      <w:r w:rsidR="00E56B51" w:rsidRPr="00921191">
        <w:rPr>
          <w:rFonts w:ascii="Lato" w:eastAsia="Times New Roman" w:hAnsi="Lato" w:cs="Times New Roman"/>
        </w:rPr>
        <w:t>. To many nowadays, this is simply impossible.</w:t>
      </w:r>
      <w:r w:rsidR="00921191">
        <w:rPr>
          <w:rFonts w:ascii="Lato" w:eastAsia="Times New Roman" w:hAnsi="Lato" w:cs="Times New Roman"/>
        </w:rPr>
        <w:t xml:space="preserve"> Those who have been lucky to be able to afford a mortgage may even attempt to purchase a second property to rent as landlord. In the grand scheme of </w:t>
      </w:r>
      <w:proofErr w:type="gramStart"/>
      <w:r w:rsidR="00921191">
        <w:rPr>
          <w:rFonts w:ascii="Lato" w:eastAsia="Times New Roman" w:hAnsi="Lato" w:cs="Times New Roman"/>
        </w:rPr>
        <w:t>things</w:t>
      </w:r>
      <w:proofErr w:type="gramEnd"/>
      <w:r w:rsidR="00921191">
        <w:rPr>
          <w:rFonts w:ascii="Lato" w:eastAsia="Times New Roman" w:hAnsi="Lato" w:cs="Times New Roman"/>
        </w:rPr>
        <w:t xml:space="preserve"> they are still likely just trying to get by and provide for their family, but it is at the cost of those who are stuck in the cycle of renting. Renting in and of itself has largely become a new culture for many Americans. In the United States there are 44 million renters, and of these more than 47% are rent burdened</w:t>
      </w:r>
      <w:r w:rsidR="00921191">
        <w:rPr>
          <w:rFonts w:ascii="Lato" w:eastAsia="Times New Roman" w:hAnsi="Lato" w:cs="Times New Roman"/>
        </w:rPr>
        <w:fldChar w:fldCharType="begin"/>
      </w:r>
      <w:r w:rsidR="00921191">
        <w:rPr>
          <w:rFonts w:ascii="Lato" w:eastAsia="Times New Roman" w:hAnsi="Lato" w:cs="Times New Roman"/>
        </w:rPr>
        <w:instrText xml:space="preserve"> ADDIN ZOTERO_ITEM CSL_CITATION {"citationID":"tMwqXPJi","properties":{"formattedCitation":"(Kontokosta, Reina, and Bonczak 2020)","plainCitation":"(Kontokosta, Reina, and Bonczak 2020)","noteIndex":0},"citationItems":[{"id":199,"uris":["http://zotero.org/users/7000530/items/SGDDNEX7"],"uri":["http://zotero.org/users/7000530/items/SGDDNEX7"],"itemData":{"id":199,"type":"article-journal","container-title":"Journal of the American Planning Association","DOI":"10.1080/01944363.2019.1647446","ISSN":"0194-4363","issue":"1","journalAbbreviation":"null","note":"publisher: Routledge","page":"89-105","title":"Energy Cost Burdens for Low-Income and Minority Households","volume":"86","author":[{"family":"Kontokosta","given":"Constantine E."},{"family":"Reina","given":"Vincent J."},{"family":"Bonczak","given":"Bartosz"}],"issued":{"date-parts":[["2020",1,2]]}}}],"schema":"https://github.com/citation-style-language/schema/raw/master/csl-citation.json"} </w:instrText>
      </w:r>
      <w:r w:rsidR="00921191">
        <w:rPr>
          <w:rFonts w:ascii="Lato" w:eastAsia="Times New Roman" w:hAnsi="Lato" w:cs="Times New Roman"/>
        </w:rPr>
        <w:fldChar w:fldCharType="separate"/>
      </w:r>
      <w:r w:rsidR="00921191">
        <w:rPr>
          <w:rFonts w:ascii="Lato" w:eastAsia="Times New Roman" w:hAnsi="Lato" w:cs="Times New Roman"/>
          <w:noProof/>
        </w:rPr>
        <w:t>(Kontokosta, Reina, and Bonczak 2020)</w:t>
      </w:r>
      <w:r w:rsidR="00921191">
        <w:rPr>
          <w:rFonts w:ascii="Lato" w:eastAsia="Times New Roman" w:hAnsi="Lato" w:cs="Times New Roman"/>
        </w:rPr>
        <w:fldChar w:fldCharType="end"/>
      </w:r>
      <w:r w:rsidR="00921191">
        <w:rPr>
          <w:rFonts w:ascii="Lato" w:eastAsia="Times New Roman" w:hAnsi="Lato" w:cs="Times New Roman"/>
        </w:rPr>
        <w:t xml:space="preserve">. Rent burdened is defined by the US HUD as a household that spends more than 30% of their gross annual income on rent. </w:t>
      </w:r>
      <w:r w:rsidR="00AE7F4C">
        <w:rPr>
          <w:rFonts w:ascii="Lato" w:eastAsia="Times New Roman" w:hAnsi="Lato" w:cs="Times New Roman"/>
        </w:rPr>
        <w:t xml:space="preserve">The United States is sadly also one of few in the developed world which does not have any successful form of public housing in effect to counter neoliberal housing policy. </w:t>
      </w:r>
      <w:r w:rsidR="00AE7F4C">
        <w:rPr>
          <w:rFonts w:ascii="Lato" w:eastAsia="Times New Roman" w:hAnsi="Lato" w:cs="Times New Roman"/>
        </w:rPr>
        <w:lastRenderedPageBreak/>
        <w:t>Countries such as Austria boast more affordable, and higher-quality public housing offerings than the average rental in the United States, with the public costs coming primarily from taxes upon large corporations</w:t>
      </w:r>
      <w:r w:rsidR="00AE7F4C">
        <w:rPr>
          <w:rFonts w:ascii="Lato" w:eastAsia="Times New Roman" w:hAnsi="Lato" w:cs="Times New Roman"/>
        </w:rPr>
        <w:fldChar w:fldCharType="begin"/>
      </w:r>
      <w:r w:rsidR="00AE7F4C">
        <w:rPr>
          <w:rFonts w:ascii="Lato" w:eastAsia="Times New Roman" w:hAnsi="Lato" w:cs="Times New Roman"/>
        </w:rPr>
        <w:instrText xml:space="preserve"> ADDIN ZOTERO_ITEM CSL_CITATION {"citationID":"kz76BE9Q","properties":{"formattedCitation":"(Forrest, n.d.)","plainCitation":"(Forrest, n.d.)","noteIndex":0},"citationItems":[{"id":215,"uris":["http://zotero.org/users/7000530/items/WYZEWAX4"],"uri":["http://zotero.org/users/7000530/items/WYZEWAX4"],"itemData":{"id":215,"type":"post-weblog","container-title":"Huffpost","title":"Vienna's Affordable Housing Paradise","URL":"https://www.huffpost.com/entry/vienna-affordable-housing-paradise_n_5b4e0b12e4b0b15aba88c7b0","author":[{"family":"Forrest","given":"Adam"}]}}],"schema":"https://github.com/citation-style-language/schema/raw/master/csl-citation.json"} </w:instrText>
      </w:r>
      <w:r w:rsidR="00AE7F4C">
        <w:rPr>
          <w:rFonts w:ascii="Lato" w:eastAsia="Times New Roman" w:hAnsi="Lato" w:cs="Times New Roman"/>
        </w:rPr>
        <w:fldChar w:fldCharType="separate"/>
      </w:r>
      <w:r w:rsidR="00AE7F4C">
        <w:rPr>
          <w:rFonts w:ascii="Lato" w:eastAsia="Times New Roman" w:hAnsi="Lato" w:cs="Times New Roman"/>
          <w:noProof/>
        </w:rPr>
        <w:t>(Forrest, n.d.)</w:t>
      </w:r>
      <w:r w:rsidR="00AE7F4C">
        <w:rPr>
          <w:rFonts w:ascii="Lato" w:eastAsia="Times New Roman" w:hAnsi="Lato" w:cs="Times New Roman"/>
        </w:rPr>
        <w:fldChar w:fldCharType="end"/>
      </w:r>
      <w:r w:rsidR="00AE7F4C">
        <w:rPr>
          <w:rFonts w:ascii="Lato" w:eastAsia="Times New Roman" w:hAnsi="Lato" w:cs="Times New Roman"/>
        </w:rPr>
        <w:t>.</w:t>
      </w:r>
    </w:p>
    <w:p w14:paraId="605B2220" w14:textId="77777777" w:rsidR="00FA404D" w:rsidRPr="00FA404D" w:rsidRDefault="00FA404D" w:rsidP="00FA404D">
      <w:pPr>
        <w:rPr>
          <w:rFonts w:ascii="Lato" w:hAnsi="Lato"/>
        </w:rPr>
      </w:pPr>
    </w:p>
    <w:p w14:paraId="48635AE2" w14:textId="56BBB858" w:rsidR="00FA404D" w:rsidRDefault="00534386" w:rsidP="00534386">
      <w:pPr>
        <w:contextualSpacing/>
        <w:rPr>
          <w:rFonts w:ascii="Lato" w:eastAsia="Times New Roman" w:hAnsi="Lato" w:cs="Times New Roman"/>
        </w:rPr>
      </w:pPr>
      <w:r>
        <w:rPr>
          <w:rFonts w:ascii="Lato" w:eastAsia="Times New Roman" w:hAnsi="Lato" w:cs="Times New Roman"/>
        </w:rPr>
        <w:t xml:space="preserve">Redlining or the </w:t>
      </w:r>
      <w:r w:rsidR="00407FDB">
        <w:rPr>
          <w:rFonts w:ascii="Lato" w:eastAsia="Times New Roman" w:hAnsi="Lato" w:cs="Times New Roman"/>
        </w:rPr>
        <w:t xml:space="preserve">increase in interested rates due to a </w:t>
      </w:r>
      <w:r>
        <w:rPr>
          <w:rFonts w:ascii="Lato" w:eastAsia="Times New Roman" w:hAnsi="Lato" w:cs="Times New Roman"/>
        </w:rPr>
        <w:t>perceived ‘risk’ to issue mortgages in varying neighborhoods based on ethnic makeup or crime rates has legally been eliminated but other issues continue to plague the US housing market. The twin concepts of filtering and gentrification, while not systemic (read: policy-based), are unconscious systems that impact housing affordability. Filtering is defined as when older buildings age, the initial wealthy occupants move to newer, more expensive housing and this allows those with lower incomes to move in</w:t>
      </w:r>
      <w:r w:rsidR="00FA404D">
        <w:rPr>
          <w:rFonts w:ascii="Lato" w:eastAsia="Times New Roman" w:hAnsi="Lato" w:cs="Times New Roman"/>
        </w:rPr>
        <w:fldChar w:fldCharType="begin"/>
      </w:r>
      <w:r w:rsidR="00FA404D">
        <w:rPr>
          <w:rFonts w:ascii="Lato" w:eastAsia="Times New Roman" w:hAnsi="Lato" w:cs="Times New Roman"/>
        </w:rPr>
        <w:instrText xml:space="preserve"> ADDIN ZOTERO_ITEM CSL_CITATION {"citationID":"O0vlzOWQ","properties":{"formattedCitation":"(Hertz, n.d.)","plainCitation":"(Hertz, n.d.)","noteIndex":0},"citationItems":[{"id":213,"uris":["http://zotero.org/users/7000530/items/UD7UVRRY"],"uri":["http://zotero.org/users/7000530/items/UD7UVRRY"],"itemData":{"id":213,"type":"post-weblog","container-title":"City Observatory","genre":"Blog","title":"What Filtering Can and Can't Do","URL":"https://cityobservatory.org/what-filtering-can-and-cant-do/","author":[{"family":"Hertz","given":"Daniel"}]}}],"schema":"https://github.com/citation-style-language/schema/raw/master/csl-citation.json"} </w:instrText>
      </w:r>
      <w:r w:rsidR="00FA404D">
        <w:rPr>
          <w:rFonts w:ascii="Lato" w:eastAsia="Times New Roman" w:hAnsi="Lato" w:cs="Times New Roman"/>
        </w:rPr>
        <w:fldChar w:fldCharType="separate"/>
      </w:r>
      <w:r w:rsidR="00FA404D">
        <w:rPr>
          <w:rFonts w:ascii="Lato" w:eastAsia="Times New Roman" w:hAnsi="Lato" w:cs="Times New Roman"/>
          <w:noProof/>
        </w:rPr>
        <w:t>(Hertz, n.d.)</w:t>
      </w:r>
      <w:r w:rsidR="00FA404D">
        <w:rPr>
          <w:rFonts w:ascii="Lato" w:eastAsia="Times New Roman" w:hAnsi="Lato" w:cs="Times New Roman"/>
        </w:rPr>
        <w:fldChar w:fldCharType="end"/>
      </w:r>
      <w:r>
        <w:rPr>
          <w:rFonts w:ascii="Lato" w:eastAsia="Times New Roman" w:hAnsi="Lato" w:cs="Times New Roman"/>
        </w:rPr>
        <w:t>. However, by this time the building is usually in disrepair and far behind in terms of energy efficiency, further leading to a burden on the occupant</w:t>
      </w:r>
      <w:r>
        <w:rPr>
          <w:rFonts w:ascii="Lato" w:eastAsia="Times New Roman" w:hAnsi="Lato" w:cs="Times New Roman"/>
        </w:rPr>
        <w:fldChar w:fldCharType="begin"/>
      </w:r>
      <w:r>
        <w:rPr>
          <w:rFonts w:ascii="Lato" w:eastAsia="Times New Roman" w:hAnsi="Lato" w:cs="Times New Roman"/>
        </w:rPr>
        <w:instrText xml:space="preserve"> ADDIN ZOTERO_ITEM CSL_CITATION {"citationID":"rAZCcdDw","properties":{"formattedCitation":"(Kontokosta, Reina, and Bonczak 2020)","plainCitation":"(Kontokosta, Reina, and Bonczak 2020)","noteIndex":0},"citationItems":[{"id":199,"uris":["http://zotero.org/users/7000530/items/SGDDNEX7"],"uri":["http://zotero.org/users/7000530/items/SGDDNEX7"],"itemData":{"id":199,"type":"article-journal","container-title":"Journal of the American Planning Association","DOI":"10.1080/01944363.2019.1647446","ISSN":"0194-4363","issue":"1","journalAbbreviation":"null","note":"publisher: Routledge","page":"89-105","title":"Energy Cost Burdens for Low-Income and Minority Households","volume":"86","author":[{"family":"Kontokosta","given":"Constantine E."},{"family":"Reina","given":"Vincent J."},{"family":"Bonczak","given":"Bartosz"}],"issued":{"date-parts":[["2020",1,2]]}}}],"schema":"https://github.com/citation-style-language/schema/raw/master/csl-citation.json"} </w:instrText>
      </w:r>
      <w:r>
        <w:rPr>
          <w:rFonts w:ascii="Lato" w:eastAsia="Times New Roman" w:hAnsi="Lato" w:cs="Times New Roman"/>
        </w:rPr>
        <w:fldChar w:fldCharType="separate"/>
      </w:r>
      <w:r>
        <w:rPr>
          <w:rFonts w:ascii="Lato" w:eastAsia="Times New Roman" w:hAnsi="Lato" w:cs="Times New Roman"/>
          <w:noProof/>
        </w:rPr>
        <w:t>(Kontokosta, Reina, and Bonczak 2020)</w:t>
      </w:r>
      <w:r>
        <w:rPr>
          <w:rFonts w:ascii="Lato" w:eastAsia="Times New Roman" w:hAnsi="Lato" w:cs="Times New Roman"/>
        </w:rPr>
        <w:fldChar w:fldCharType="end"/>
      </w:r>
      <w:r>
        <w:rPr>
          <w:rFonts w:ascii="Lato" w:eastAsia="Times New Roman" w:hAnsi="Lato" w:cs="Times New Roman"/>
        </w:rPr>
        <w:t xml:space="preserve">. Gentrification, on the other hand, has the opposite effect. </w:t>
      </w:r>
      <w:r w:rsidR="00FA404D">
        <w:rPr>
          <w:rFonts w:ascii="Lato" w:eastAsia="Times New Roman" w:hAnsi="Lato" w:cs="Times New Roman"/>
        </w:rPr>
        <w:t xml:space="preserve">Boutiques, cafes, and other non-essential shops opening in historic, filtered districts spikes the housing prices back up or above the original prices, considering inflation. Many of these older dwellings are retrofitted into luxury apartments far out of reach of the existing residents. In turn, this causes many of those who have lived there for decades to be expelled to nearby neighborhoods once they can no longer afford the rental prices. </w:t>
      </w:r>
    </w:p>
    <w:p w14:paraId="3E658421" w14:textId="77777777" w:rsidR="00FA404D" w:rsidRDefault="00FA404D" w:rsidP="00534386">
      <w:pPr>
        <w:contextualSpacing/>
        <w:rPr>
          <w:rFonts w:ascii="Lato" w:eastAsia="Times New Roman" w:hAnsi="Lato" w:cs="Times New Roman"/>
        </w:rPr>
      </w:pPr>
    </w:p>
    <w:p w14:paraId="339B18DE" w14:textId="470665A1" w:rsidR="00534386" w:rsidRPr="00FA404D" w:rsidRDefault="00FA404D" w:rsidP="00534386">
      <w:pPr>
        <w:rPr>
          <w:rFonts w:ascii="Lato" w:hAnsi="Lato"/>
        </w:rPr>
      </w:pPr>
      <w:r w:rsidRPr="00FA404D">
        <w:rPr>
          <w:rFonts w:ascii="Lato" w:hAnsi="Lato"/>
        </w:rPr>
        <w:t xml:space="preserve">While affordable housing is typically subsidized, either publicly or privately, homeowners are also subsidized in ways </w:t>
      </w:r>
      <w:r w:rsidR="00DE4EE9">
        <w:rPr>
          <w:rFonts w:ascii="Lato" w:hAnsi="Lato"/>
        </w:rPr>
        <w:t xml:space="preserve">not </w:t>
      </w:r>
      <w:r w:rsidRPr="00FA404D">
        <w:rPr>
          <w:rFonts w:ascii="Lato" w:hAnsi="Lato"/>
        </w:rPr>
        <w:t xml:space="preserve">typically discussed. Homeowners </w:t>
      </w:r>
      <w:r w:rsidR="00D70D6F">
        <w:rPr>
          <w:rFonts w:ascii="Lato" w:hAnsi="Lato"/>
        </w:rPr>
        <w:t xml:space="preserve">are </w:t>
      </w:r>
      <w:r w:rsidRPr="00FA404D">
        <w:rPr>
          <w:rFonts w:ascii="Lato" w:hAnsi="Lato"/>
        </w:rPr>
        <w:t>given mortgage interest tax deductions, lead</w:t>
      </w:r>
      <w:r w:rsidR="00D70D6F">
        <w:rPr>
          <w:rFonts w:ascii="Lato" w:hAnsi="Lato"/>
        </w:rPr>
        <w:t>ing</w:t>
      </w:r>
      <w:r w:rsidRPr="00FA404D">
        <w:rPr>
          <w:rFonts w:ascii="Lato" w:hAnsi="Lato"/>
        </w:rPr>
        <w:t xml:space="preserve"> towards mortgages being more affordable than renting many times. However, many</w:t>
      </w:r>
      <w:r w:rsidR="00D70D6F">
        <w:rPr>
          <w:rFonts w:ascii="Lato" w:hAnsi="Lato"/>
        </w:rPr>
        <w:t xml:space="preserve"> current</w:t>
      </w:r>
      <w:r w:rsidRPr="00FA404D">
        <w:rPr>
          <w:rFonts w:ascii="Lato" w:hAnsi="Lato"/>
        </w:rPr>
        <w:t xml:space="preserve"> renters are unable to secure mortgage loans due to credit history or negative marks due to landlord issues or past evictions. </w:t>
      </w:r>
      <w:r w:rsidR="00E42026">
        <w:rPr>
          <w:rFonts w:ascii="Lato" w:eastAsia="Times New Roman" w:hAnsi="Lato" w:cs="Times New Roman"/>
        </w:rPr>
        <w:t>In addition to</w:t>
      </w:r>
      <w:r>
        <w:rPr>
          <w:rFonts w:ascii="Lato" w:eastAsia="Times New Roman" w:hAnsi="Lato" w:cs="Times New Roman"/>
        </w:rPr>
        <w:t xml:space="preserve"> this, in the beginning of 2021 </w:t>
      </w:r>
      <w:r w:rsidR="00FC331B">
        <w:rPr>
          <w:rFonts w:ascii="Lato" w:eastAsia="Times New Roman" w:hAnsi="Lato" w:cs="Times New Roman"/>
        </w:rPr>
        <w:t xml:space="preserve">began </w:t>
      </w:r>
      <w:r>
        <w:rPr>
          <w:rFonts w:ascii="Lato" w:eastAsia="Times New Roman" w:hAnsi="Lato" w:cs="Times New Roman"/>
        </w:rPr>
        <w:t xml:space="preserve">a new force generating the impossibility of purchasing a home for millennials and gen Z. Private equity firms such as BlackRock are purchasing massive amounts of </w:t>
      </w:r>
      <w:r w:rsidR="00405611">
        <w:rPr>
          <w:rFonts w:ascii="Lato" w:eastAsia="Times New Roman" w:hAnsi="Lato" w:cs="Times New Roman"/>
        </w:rPr>
        <w:t xml:space="preserve">starter </w:t>
      </w:r>
      <w:r>
        <w:rPr>
          <w:rFonts w:ascii="Lato" w:eastAsia="Times New Roman" w:hAnsi="Lato" w:cs="Times New Roman"/>
        </w:rPr>
        <w:t>homes to convert to rentals. In just the first quarter of this year, 15% of all home sales were to private equity like BlackRock, some paying upwards of 20-50% over asking price in cash in an effort to outcompete prospective buyers</w:t>
      </w:r>
      <w:r w:rsidR="00405611">
        <w:rPr>
          <w:rFonts w:ascii="Lato" w:eastAsia="Times New Roman" w:hAnsi="Lato" w:cs="Times New Roman"/>
        </w:rPr>
        <w:t>, while paying nearly anything in interest</w:t>
      </w:r>
      <w:r>
        <w:rPr>
          <w:rFonts w:ascii="Lato" w:eastAsia="Times New Roman" w:hAnsi="Lato" w:cs="Times New Roman"/>
        </w:rPr>
        <w:fldChar w:fldCharType="begin"/>
      </w:r>
      <w:r>
        <w:rPr>
          <w:rFonts w:ascii="Lato" w:eastAsia="Times New Roman" w:hAnsi="Lato" w:cs="Times New Roman"/>
        </w:rPr>
        <w:instrText xml:space="preserve"> ADDIN ZOTERO_ITEM CSL_CITATION {"citationID":"cZurY7mf","properties":{"formattedCitation":"(Botella, n.d.)","plainCitation":"(Botella, n.d.)","noteIndex":0},"citationItems":[{"id":214,"uris":["http://zotero.org/users/7000530/items/M8EKFYVW"],"uri":["http://zotero.org/users/7000530/items/M8EKFYVW"],"itemData":{"id":214,"type":"post-weblog","container-title":"Slate","title":"Investment Firms Aren’t Buying All the Houses. But They Are Buying the Most Important Ones.","URL":"https://slate.com/business/2021/06/blackrock-invitation-houses-investment-firms-real-estate.html","author":[{"family":"Botella","given":"Elena"}]}}],"schema":"https://github.com/citation-style-language/schema/raw/master/csl-citation.json"} </w:instrText>
      </w:r>
      <w:r>
        <w:rPr>
          <w:rFonts w:ascii="Lato" w:eastAsia="Times New Roman" w:hAnsi="Lato" w:cs="Times New Roman"/>
        </w:rPr>
        <w:fldChar w:fldCharType="separate"/>
      </w:r>
      <w:r>
        <w:rPr>
          <w:rFonts w:ascii="Lato" w:eastAsia="Times New Roman" w:hAnsi="Lato" w:cs="Times New Roman"/>
          <w:noProof/>
        </w:rPr>
        <w:t>(Botella, n.d.)</w:t>
      </w:r>
      <w:r>
        <w:rPr>
          <w:rFonts w:ascii="Lato" w:eastAsia="Times New Roman" w:hAnsi="Lato" w:cs="Times New Roman"/>
        </w:rPr>
        <w:fldChar w:fldCharType="end"/>
      </w:r>
      <w:r>
        <w:rPr>
          <w:rFonts w:ascii="Lato" w:eastAsia="Times New Roman" w:hAnsi="Lato" w:cs="Times New Roman"/>
        </w:rPr>
        <w:t xml:space="preserve">. </w:t>
      </w:r>
    </w:p>
    <w:p w14:paraId="7DF24CC5" w14:textId="16088661" w:rsidR="00E56B51" w:rsidRDefault="00E56B51" w:rsidP="00E56B51">
      <w:pPr>
        <w:rPr>
          <w:rFonts w:ascii="Lato" w:hAnsi="Lato"/>
        </w:rPr>
      </w:pPr>
    </w:p>
    <w:p w14:paraId="5EA73B85" w14:textId="2DA24F6F" w:rsidR="000E3BCC" w:rsidRDefault="000E3BCC" w:rsidP="00E56B51">
      <w:pPr>
        <w:rPr>
          <w:rFonts w:ascii="Lato" w:hAnsi="Lato"/>
        </w:rPr>
      </w:pPr>
    </w:p>
    <w:p w14:paraId="46CE16BD" w14:textId="6597E9ED" w:rsidR="000E3BCC" w:rsidRDefault="000E3BCC" w:rsidP="00E56B51">
      <w:pPr>
        <w:rPr>
          <w:rFonts w:ascii="Lato" w:hAnsi="Lato"/>
          <w:b/>
          <w:bCs/>
        </w:rPr>
      </w:pPr>
      <w:r w:rsidRPr="000E3BCC">
        <w:rPr>
          <w:rFonts w:ascii="Lato" w:hAnsi="Lato"/>
          <w:b/>
          <w:bCs/>
        </w:rPr>
        <w:t>Bibliography</w:t>
      </w:r>
    </w:p>
    <w:p w14:paraId="7D843A9B" w14:textId="54C93CC6" w:rsidR="000E3BCC" w:rsidRDefault="000E3BCC" w:rsidP="00E56B51">
      <w:pPr>
        <w:rPr>
          <w:rFonts w:ascii="Lato" w:hAnsi="Lato"/>
          <w:b/>
          <w:bCs/>
        </w:rPr>
      </w:pPr>
    </w:p>
    <w:p w14:paraId="452B6D9D" w14:textId="77777777" w:rsidR="00AE7F4C" w:rsidRPr="00AE7F4C" w:rsidRDefault="00B016AF" w:rsidP="00AE7F4C">
      <w:pPr>
        <w:pStyle w:val="Bibliography"/>
        <w:rPr>
          <w:rFonts w:ascii="Lato" w:hAnsi="Lato"/>
        </w:rPr>
      </w:pPr>
      <w:r>
        <w:rPr>
          <w:rFonts w:ascii="Lato" w:hAnsi="Lato"/>
          <w:b/>
          <w:bCs/>
        </w:rPr>
        <w:fldChar w:fldCharType="begin"/>
      </w:r>
      <w:r>
        <w:rPr>
          <w:rFonts w:ascii="Lato" w:hAnsi="Lato"/>
          <w:b/>
          <w:bCs/>
        </w:rPr>
        <w:instrText xml:space="preserve"> ADDIN ZOTERO_BIBL {"uncited":[],"omitted":[],"custom":[]} CSL_BIBLIOGRAPHY </w:instrText>
      </w:r>
      <w:r>
        <w:rPr>
          <w:rFonts w:ascii="Lato" w:hAnsi="Lato"/>
          <w:b/>
          <w:bCs/>
        </w:rPr>
        <w:fldChar w:fldCharType="separate"/>
      </w:r>
      <w:r w:rsidR="00AE7F4C" w:rsidRPr="00AE7F4C">
        <w:rPr>
          <w:rFonts w:ascii="Lato" w:hAnsi="Lato"/>
        </w:rPr>
        <w:t xml:space="preserve">Botella, Elena. n.d. “Investment Firms Aren’t Buying All the Houses. But They Are Buying the Most Important Ones.” </w:t>
      </w:r>
      <w:r w:rsidR="00AE7F4C" w:rsidRPr="00AE7F4C">
        <w:rPr>
          <w:rFonts w:ascii="Lato" w:hAnsi="Lato"/>
          <w:i/>
          <w:iCs/>
        </w:rPr>
        <w:t>Slate</w:t>
      </w:r>
      <w:r w:rsidR="00AE7F4C" w:rsidRPr="00AE7F4C">
        <w:rPr>
          <w:rFonts w:ascii="Lato" w:hAnsi="Lato"/>
        </w:rPr>
        <w:t xml:space="preserve"> (blog). https://slate.com/business/2021/06/blackrock-invitation-houses-investment-firms-real-estate.html.</w:t>
      </w:r>
    </w:p>
    <w:p w14:paraId="2E1904F7" w14:textId="77777777" w:rsidR="00AE7F4C" w:rsidRPr="00AE7F4C" w:rsidRDefault="00AE7F4C" w:rsidP="00AE7F4C">
      <w:pPr>
        <w:pStyle w:val="Bibliography"/>
        <w:rPr>
          <w:rFonts w:ascii="Lato" w:hAnsi="Lato"/>
        </w:rPr>
      </w:pPr>
      <w:r w:rsidRPr="00AE7F4C">
        <w:rPr>
          <w:rFonts w:ascii="Lato" w:hAnsi="Lato"/>
        </w:rPr>
        <w:t xml:space="preserve">Brinig, Margaret F., and Nicole Stelle Garnett. 2013. “A Room of One’s Own? Accessory Dwelling Unit Reforms and Local Parochialism.” </w:t>
      </w:r>
      <w:r w:rsidRPr="00AE7F4C">
        <w:rPr>
          <w:rFonts w:ascii="Lato" w:hAnsi="Lato"/>
          <w:i/>
          <w:iCs/>
        </w:rPr>
        <w:t>The Urban Lawyer</w:t>
      </w:r>
      <w:r w:rsidRPr="00AE7F4C">
        <w:rPr>
          <w:rFonts w:ascii="Lato" w:hAnsi="Lato"/>
        </w:rPr>
        <w:t xml:space="preserve"> 45 (3): 519–69.</w:t>
      </w:r>
    </w:p>
    <w:p w14:paraId="10E044E9" w14:textId="77777777" w:rsidR="00AE7F4C" w:rsidRPr="00AE7F4C" w:rsidRDefault="00AE7F4C" w:rsidP="00AE7F4C">
      <w:pPr>
        <w:pStyle w:val="Bibliography"/>
        <w:rPr>
          <w:rFonts w:ascii="Lato" w:hAnsi="Lato"/>
        </w:rPr>
      </w:pPr>
      <w:r w:rsidRPr="00AE7F4C">
        <w:rPr>
          <w:rFonts w:ascii="Lato" w:hAnsi="Lato"/>
        </w:rPr>
        <w:t>Daniel Hertz. 2015. “The Immaculate Conception Theory of Your Neighborhood’s Origins.” CityObservatory. September 24, 2015. https://cityobservatory.org/the-immaculate-conception-theory-of-your-neighborhoods-origins/.</w:t>
      </w:r>
    </w:p>
    <w:p w14:paraId="06C05592" w14:textId="77777777" w:rsidR="00AE7F4C" w:rsidRPr="00AE7F4C" w:rsidRDefault="00AE7F4C" w:rsidP="00AE7F4C">
      <w:pPr>
        <w:pStyle w:val="Bibliography"/>
        <w:rPr>
          <w:rFonts w:ascii="Lato" w:hAnsi="Lato"/>
        </w:rPr>
      </w:pPr>
      <w:r w:rsidRPr="00AE7F4C">
        <w:rPr>
          <w:rFonts w:ascii="Lato" w:hAnsi="Lato"/>
        </w:rPr>
        <w:lastRenderedPageBreak/>
        <w:t xml:space="preserve">Forrest, Adam. n.d. “Vienna’s Affordable Housing Paradise.” </w:t>
      </w:r>
      <w:r w:rsidRPr="00AE7F4C">
        <w:rPr>
          <w:rFonts w:ascii="Lato" w:hAnsi="Lato"/>
          <w:i/>
          <w:iCs/>
        </w:rPr>
        <w:t>Huffpost</w:t>
      </w:r>
      <w:r w:rsidRPr="00AE7F4C">
        <w:rPr>
          <w:rFonts w:ascii="Lato" w:hAnsi="Lato"/>
        </w:rPr>
        <w:t xml:space="preserve"> (blog). https://www.huffpost.com/entry/vienna-affordable-housing-paradise_n_5b4e0b12e4b0b15aba88c7b0.</w:t>
      </w:r>
    </w:p>
    <w:p w14:paraId="1B9F7AFD" w14:textId="77777777" w:rsidR="00AE7F4C" w:rsidRPr="00AE7F4C" w:rsidRDefault="00AE7F4C" w:rsidP="00AE7F4C">
      <w:pPr>
        <w:pStyle w:val="Bibliography"/>
        <w:rPr>
          <w:rFonts w:ascii="Lato" w:hAnsi="Lato"/>
        </w:rPr>
      </w:pPr>
      <w:r w:rsidRPr="00AE7F4C">
        <w:rPr>
          <w:rFonts w:ascii="Lato" w:hAnsi="Lato"/>
        </w:rPr>
        <w:t xml:space="preserve">Hertz, Daniel. n.d. “What Filtering Can and Can’t Do.” Blog. </w:t>
      </w:r>
      <w:r w:rsidRPr="00AE7F4C">
        <w:rPr>
          <w:rFonts w:ascii="Lato" w:hAnsi="Lato"/>
          <w:i/>
          <w:iCs/>
        </w:rPr>
        <w:t>City Observatory</w:t>
      </w:r>
      <w:r w:rsidRPr="00AE7F4C">
        <w:rPr>
          <w:rFonts w:ascii="Lato" w:hAnsi="Lato"/>
        </w:rPr>
        <w:t xml:space="preserve"> (blog). https://cityobservatory.org/what-filtering-can-and-cant-do/.</w:t>
      </w:r>
    </w:p>
    <w:p w14:paraId="503DF12F" w14:textId="77777777" w:rsidR="00AE7F4C" w:rsidRPr="00AE7F4C" w:rsidRDefault="00AE7F4C" w:rsidP="00AE7F4C">
      <w:pPr>
        <w:pStyle w:val="Bibliography"/>
        <w:rPr>
          <w:rFonts w:ascii="Lato" w:hAnsi="Lato"/>
        </w:rPr>
      </w:pPr>
      <w:r w:rsidRPr="00AE7F4C">
        <w:rPr>
          <w:rFonts w:ascii="Lato" w:hAnsi="Lato"/>
        </w:rPr>
        <w:t xml:space="preserve">Kontokosta, Constantine E., Vincent J. Reina, and Bartosz Bonczak. 2020. “Energy Cost Burdens for Low-Income and Minority Households.” </w:t>
      </w:r>
      <w:r w:rsidRPr="00AE7F4C">
        <w:rPr>
          <w:rFonts w:ascii="Lato" w:hAnsi="Lato"/>
          <w:i/>
          <w:iCs/>
        </w:rPr>
        <w:t>Journal of the American Planning Association</w:t>
      </w:r>
      <w:r w:rsidRPr="00AE7F4C">
        <w:rPr>
          <w:rFonts w:ascii="Lato" w:hAnsi="Lato"/>
        </w:rPr>
        <w:t xml:space="preserve"> 86 (1): 89–105. https://doi.org/10.1080/01944363.2019.1647446.</w:t>
      </w:r>
    </w:p>
    <w:p w14:paraId="05AE7736" w14:textId="046A530C" w:rsidR="00FA6326" w:rsidRDefault="00B016AF" w:rsidP="00E56B51">
      <w:pPr>
        <w:rPr>
          <w:rFonts w:ascii="Lato" w:hAnsi="Lato"/>
        </w:rPr>
      </w:pPr>
      <w:r>
        <w:rPr>
          <w:rFonts w:ascii="Lato" w:hAnsi="Lato"/>
          <w:b/>
          <w:bCs/>
        </w:rPr>
        <w:fldChar w:fldCharType="end"/>
      </w:r>
      <w:r w:rsidR="00C42F65">
        <w:rPr>
          <w:rFonts w:ascii="Lato" w:hAnsi="Lato"/>
        </w:rPr>
        <w:t xml:space="preserve"> </w:t>
      </w:r>
    </w:p>
    <w:p w14:paraId="7E00AD0D" w14:textId="16FE6213" w:rsidR="00390891" w:rsidRPr="009D0122" w:rsidRDefault="00390891" w:rsidP="00E56B51">
      <w:pPr>
        <w:rPr>
          <w:rFonts w:ascii="Lato" w:hAnsi="Lato"/>
          <w:b/>
          <w:bCs/>
        </w:rPr>
      </w:pPr>
      <w:proofErr w:type="spellStart"/>
      <w:r>
        <w:rPr>
          <w:rFonts w:ascii="Lato" w:hAnsi="Lato"/>
        </w:rPr>
        <w:t>dgasdga</w:t>
      </w:r>
      <w:proofErr w:type="spellEnd"/>
    </w:p>
    <w:sectPr w:rsidR="00390891" w:rsidRPr="009D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26F"/>
    <w:multiLevelType w:val="hybridMultilevel"/>
    <w:tmpl w:val="1172B9C8"/>
    <w:lvl w:ilvl="0" w:tplc="C3C01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B9"/>
    <w:rsid w:val="0000017E"/>
    <w:rsid w:val="00011F93"/>
    <w:rsid w:val="00041F8A"/>
    <w:rsid w:val="00093CC3"/>
    <w:rsid w:val="000E3BCC"/>
    <w:rsid w:val="000F76D5"/>
    <w:rsid w:val="00137176"/>
    <w:rsid w:val="001B0FD1"/>
    <w:rsid w:val="002940E5"/>
    <w:rsid w:val="0037238D"/>
    <w:rsid w:val="00390891"/>
    <w:rsid w:val="00405611"/>
    <w:rsid w:val="004078F7"/>
    <w:rsid w:val="00407FDB"/>
    <w:rsid w:val="0048428D"/>
    <w:rsid w:val="004B58A9"/>
    <w:rsid w:val="004C4DB9"/>
    <w:rsid w:val="0051059E"/>
    <w:rsid w:val="00534386"/>
    <w:rsid w:val="005A49C6"/>
    <w:rsid w:val="005B29AE"/>
    <w:rsid w:val="005D1FF0"/>
    <w:rsid w:val="005D64B8"/>
    <w:rsid w:val="006047D2"/>
    <w:rsid w:val="006149B7"/>
    <w:rsid w:val="00730BA7"/>
    <w:rsid w:val="0073203C"/>
    <w:rsid w:val="007918C5"/>
    <w:rsid w:val="007D1C50"/>
    <w:rsid w:val="008159F3"/>
    <w:rsid w:val="00876CE5"/>
    <w:rsid w:val="008A272C"/>
    <w:rsid w:val="00921191"/>
    <w:rsid w:val="00990FD2"/>
    <w:rsid w:val="009D0122"/>
    <w:rsid w:val="00A26DE7"/>
    <w:rsid w:val="00A31D96"/>
    <w:rsid w:val="00AE7F4C"/>
    <w:rsid w:val="00B016AF"/>
    <w:rsid w:val="00BC53D1"/>
    <w:rsid w:val="00C42F65"/>
    <w:rsid w:val="00CC2730"/>
    <w:rsid w:val="00D70D6F"/>
    <w:rsid w:val="00DE4EE9"/>
    <w:rsid w:val="00E42026"/>
    <w:rsid w:val="00E56B51"/>
    <w:rsid w:val="00EB1FFA"/>
    <w:rsid w:val="00F342C2"/>
    <w:rsid w:val="00F378AB"/>
    <w:rsid w:val="00FA145C"/>
    <w:rsid w:val="00FA404D"/>
    <w:rsid w:val="00FA6326"/>
    <w:rsid w:val="00FB06BE"/>
    <w:rsid w:val="00FC331B"/>
    <w:rsid w:val="00FE1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1165FF"/>
  <w15:chartTrackingRefBased/>
  <w15:docId w15:val="{918F67F1-A8DB-B847-8587-CAA1EC7A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D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4DB9"/>
    <w:rPr>
      <w:b/>
      <w:bCs/>
    </w:rPr>
  </w:style>
  <w:style w:type="character" w:customStyle="1" w:styleId="apple-converted-space">
    <w:name w:val="apple-converted-space"/>
    <w:basedOn w:val="DefaultParagraphFont"/>
    <w:rsid w:val="004C4DB9"/>
  </w:style>
  <w:style w:type="paragraph" w:styleId="ListParagraph">
    <w:name w:val="List Paragraph"/>
    <w:basedOn w:val="Normal"/>
    <w:uiPriority w:val="34"/>
    <w:qFormat/>
    <w:rsid w:val="00E56B51"/>
    <w:pPr>
      <w:ind w:left="720"/>
      <w:contextualSpacing/>
    </w:pPr>
  </w:style>
  <w:style w:type="paragraph" w:styleId="Bibliography">
    <w:name w:val="Bibliography"/>
    <w:basedOn w:val="Normal"/>
    <w:next w:val="Normal"/>
    <w:uiPriority w:val="37"/>
    <w:unhideWhenUsed/>
    <w:rsid w:val="00B016A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4218">
      <w:bodyDiv w:val="1"/>
      <w:marLeft w:val="0"/>
      <w:marRight w:val="0"/>
      <w:marTop w:val="0"/>
      <w:marBottom w:val="0"/>
      <w:divBdr>
        <w:top w:val="none" w:sz="0" w:space="0" w:color="auto"/>
        <w:left w:val="none" w:sz="0" w:space="0" w:color="auto"/>
        <w:bottom w:val="none" w:sz="0" w:space="0" w:color="auto"/>
        <w:right w:val="none" w:sz="0" w:space="0" w:color="auto"/>
      </w:divBdr>
    </w:div>
    <w:div w:id="873233706">
      <w:bodyDiv w:val="1"/>
      <w:marLeft w:val="0"/>
      <w:marRight w:val="0"/>
      <w:marTop w:val="0"/>
      <w:marBottom w:val="0"/>
      <w:divBdr>
        <w:top w:val="none" w:sz="0" w:space="0" w:color="auto"/>
        <w:left w:val="none" w:sz="0" w:space="0" w:color="auto"/>
        <w:bottom w:val="none" w:sz="0" w:space="0" w:color="auto"/>
        <w:right w:val="none" w:sz="0" w:space="0" w:color="auto"/>
      </w:divBdr>
    </w:div>
    <w:div w:id="1638560381">
      <w:bodyDiv w:val="1"/>
      <w:marLeft w:val="0"/>
      <w:marRight w:val="0"/>
      <w:marTop w:val="0"/>
      <w:marBottom w:val="0"/>
      <w:divBdr>
        <w:top w:val="none" w:sz="0" w:space="0" w:color="auto"/>
        <w:left w:val="none" w:sz="0" w:space="0" w:color="auto"/>
        <w:bottom w:val="none" w:sz="0" w:space="0" w:color="auto"/>
        <w:right w:val="none" w:sz="0" w:space="0" w:color="auto"/>
      </w:divBdr>
    </w:div>
    <w:div w:id="18043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Arthur Pape</dc:creator>
  <cp:keywords/>
  <dc:description/>
  <cp:lastModifiedBy>Preston Arthur Pape</cp:lastModifiedBy>
  <cp:revision>3</cp:revision>
  <cp:lastPrinted>2021-11-17T23:39:00Z</cp:lastPrinted>
  <dcterms:created xsi:type="dcterms:W3CDTF">2021-12-03T05:28:00Z</dcterms:created>
  <dcterms:modified xsi:type="dcterms:W3CDTF">2021-12-05T02:34:00Z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id="tAXtsyS0"/&gt;&lt;style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