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23E" w:rsidRDefault="00C66B0B">
      <w:r>
        <w:t>Methods of fMRI segmentation</w:t>
      </w:r>
    </w:p>
    <w:p w:rsidR="00C66B0B" w:rsidRDefault="00820225">
      <w:r>
        <w:t xml:space="preserve">ICA, PCA, </w:t>
      </w:r>
      <w:r w:rsidR="00F42F02">
        <w:t>(contextual) C</w:t>
      </w:r>
      <w:r>
        <w:t>lustering</w:t>
      </w:r>
    </w:p>
    <w:p w:rsidR="008562B5" w:rsidRDefault="008562B5">
      <w:r>
        <w:t>Compute statistical parametric map and thresholding it</w:t>
      </w:r>
      <w:bookmarkStart w:id="0" w:name="_GoBack"/>
      <w:bookmarkEnd w:id="0"/>
    </w:p>
    <w:p w:rsidR="009C7911" w:rsidRDefault="009C7911">
      <w:r>
        <w:t xml:space="preserve">Image segmentation plays a </w:t>
      </w:r>
      <w:r w:rsidR="00B02985">
        <w:t>vital role in a medical imaging applications.</w:t>
      </w:r>
      <w:r w:rsidR="00F33FD4">
        <w:t xml:space="preserve"> Many image segmentation methods have been proposed for the process of successive image analysis tasks in the last decade</w:t>
      </w:r>
      <w:r w:rsidR="005D273B">
        <w:t>s</w:t>
      </w:r>
      <w:r w:rsidR="00F33FD4">
        <w:t xml:space="preserve">. </w:t>
      </w:r>
    </w:p>
    <w:sectPr w:rsidR="009C79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B0B"/>
    <w:rsid w:val="0014623E"/>
    <w:rsid w:val="005D273B"/>
    <w:rsid w:val="00820225"/>
    <w:rsid w:val="008562B5"/>
    <w:rsid w:val="009C7911"/>
    <w:rsid w:val="00B02985"/>
    <w:rsid w:val="00C66B0B"/>
    <w:rsid w:val="00F33FD4"/>
    <w:rsid w:val="00F4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45</Words>
  <Characters>270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Przemek</dc:creator>
  <cp:lastModifiedBy>Przemek</cp:lastModifiedBy>
  <cp:revision>8</cp:revision>
  <dcterms:created xsi:type="dcterms:W3CDTF">2015-12-17T15:00:00Z</dcterms:created>
  <dcterms:modified xsi:type="dcterms:W3CDTF">2015-12-17T15:55:00Z</dcterms:modified>
</cp:coreProperties>
</file>