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Ind w:w="-10.0" w:type="dxa"/>
        <w:tblLayout w:type="fixed"/>
        <w:tblLook w:val="0000"/>
      </w:tblPr>
      <w:tblGrid>
        <w:gridCol w:w="485"/>
        <w:gridCol w:w="1504"/>
        <w:gridCol w:w="1337"/>
        <w:gridCol w:w="1899"/>
        <w:gridCol w:w="1040"/>
        <w:gridCol w:w="1221"/>
        <w:gridCol w:w="1704"/>
        <w:tblGridChange w:id="0">
          <w:tblGrid>
            <w:gridCol w:w="485"/>
            <w:gridCol w:w="1504"/>
            <w:gridCol w:w="1337"/>
            <w:gridCol w:w="1899"/>
            <w:gridCol w:w="1040"/>
            <w:gridCol w:w="1221"/>
            <w:gridCol w:w="170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Strona 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Linia 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Wymaganie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Element listy kontrolnej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Kategoria defektu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 defektu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Ważność defektu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Uwagi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 1.2.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niedoprecyzowanie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średnia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 doprecyzowania rodzaju karty graficznej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1.1.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niedoprecyzowanie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Czy Windows XP SP2 to jedyny obsługiwany system operacyjny? (do określenia: minimalne i maksymalne wymagania)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styl, błąd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składnia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Literówka w słowie "Edit" (na mockupie jest "Edjt")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sprzeczność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składnia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aplikacji jest rozbieżna na mockupie i dokumentacji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 &amp; ui, design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średnia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 przycisku min./max.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2.1.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niedoprecyzowanie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logika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średnia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Doprecyzowanie, co oznacza "uniwersalna" lista alfanumeryczna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5., pkt. 2.1.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niedopracyzowanie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jakim formacie będą zapisywane pliki na dysku?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6, pkt. 2.2.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niedoprecyzowanie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duża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Czy liczby 0 i 9999 wchodzą w zakres danych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str. 5. Pkt. 1 - 2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składnia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średnia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Nieujednolicony wygląd czcionki numeracji podpunktów 1.1. w porównaniu do 2.1.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Kategorie defektu: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Brak, Błąd, Niedoprecyzowanie, Nadmiarowość, Styl, Sprzeczność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Ważność defektu: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Duża, Średnia, Mała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Typ defektu: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Design, Dane, Logika, Funkcja, Wydajność, Czynnik ludzki, Standard, Dokumentacja, Składnia, UX, Inny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Podtytu">
    <w:name w:val="Subtitle"/>
    <w:basedOn w:val="Normalny"/>
    <w:next w:val="Normalny"/>
    <w:link w:val="PodtytuZnak"/>
    <w:uiPriority w:val="11"/>
    <w:qFormat w:val="1"/>
    <w:rsid w:val="00264262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264262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hjA3gIdzxrFocuNo5kkbA4yZg==">CgMxLjA4AHIhMUEzRXlJY3dVcm41RnloUEVwdGJVYmhocWd0eGp5YXd6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2024-01-29T16:03:00Z</dcterms:created>
  <dc:creator>Przemysław Mieszalski</dc:creator>
</cp:coreProperties>
</file>