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Zadanie 1. Odp. </w:t>
      </w:r>
      <w:r w:rsidDel="00000000" w:rsidR="00000000" w:rsidRPr="00000000">
        <w:rPr>
          <w:rtl w:val="0"/>
        </w:rPr>
        <w:t xml:space="preserve">B. Pokrycie instrukcji = 2, Pokrycie decyzji =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Zadanie 2. Odp. D. Każda odpowiedź jest błędna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Zadanie 3. Odp. C. 3,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Zadanie 4. Odp. B.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Zadanie 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1: 1 Y 2 N 4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2: 1 N 6 N 7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3: 1 N 6 Y 8 Y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Statement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0"/>
        </w:rPr>
        <w:t xml:space="preserve"> = (8/10) x 100% = Odp. C. 80%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