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Creative Work – - /</w:t>
      </w:r>
    </w:p>
    <w:p>
      <w:r>
        <w:t>Name of the work</w:t>
      </w:r>
    </w:p>
    <w:p>
      <w:r>
        <w:t>Name of object: Import Package Script</w:t>
      </w:r>
    </w:p>
    <w:p>
      <w:r>
        <w:t>Version of Work: 1.0</w:t>
      </w:r>
    </w:p>
    <w:p>
      <w:r>
        <w:t>Project: BfA / MicroStrategy ARMS</w:t>
      </w:r>
    </w:p>
    <w:p>
      <w:r>
        <w:t>Type of the work</w:t>
      </w:r>
    </w:p>
    <w:p>
      <w:r>
        <w:t>Description of the work</w:t>
      </w:r>
    </w:p>
    <w:p>
      <w:r>
        <w:t>Imports an existing MicroStrategy migration package into the target project. The script resolves the migration object GUID from the ARMS request metadata, opens the target environment connection, executes the import, polls the migration status, updates the request and migration tables, and logs the result for operational traceability.</w:t>
      </w:r>
    </w:p>
    <w:p>
      <w:r>
        <w:t>Co-authors</w:t>
      </w:r>
    </w:p>
    <w:p>
      <w:r>
        <w:t>If applicable, else N/A</w:t>
      </w:r>
    </w:p>
    <w:p>
      <w:r>
        <w:t>Repository</w:t>
      </w:r>
    </w:p>
    <w:p>
      <w:r>
        <w:t>mstrio-arms-kroschu / import_package.py</w:t>
      </w:r>
    </w:p>
    <w:p>
      <w:pPr>
        <w:pStyle w:val="Heading1"/>
        <w:jc w:val="left"/>
      </w:pPr>
      <w:r>
        <w:t>1. Purpose</w:t>
      </w:r>
    </w:p>
    <w:p>
      <w:r>
        <w:t>The script is the downstream automation step after package creation. It reads the active request row, resolves the migration object GUID, identifies the target project and environment, imports the package into the target project, and updates the ARMS request status to reflect the end state.</w:t>
      </w:r>
    </w:p>
    <w:p>
      <w:pPr>
        <w:pStyle w:val="Heading1"/>
        <w:jc w:val="left"/>
      </w:pPr>
      <w:r>
        <w:t>2. Scope and responsibilities</w:t>
      </w:r>
    </w:p>
    <w:p>
      <w:r>
        <w:t>This script consumes already-generated migration metadata and does not create the package itself. It assumes the earlier workflow has already created a valid migration object and stored the request context in the ARMS tables.</w:t>
      </w:r>
    </w:p>
    <w:p>
      <w:r>
        <w:t>Main responsibilities:</w:t>
      </w:r>
    </w:p>
    <w:p>
      <w:pPr>
        <w:pStyle w:val="ListBullet"/>
      </w:pPr>
      <w:r>
        <w:t>Read the current migration request from the request table.</w:t>
      </w:r>
    </w:p>
    <w:p>
      <w:pPr>
        <w:pStyle w:val="ListBullet"/>
      </w:pPr>
      <w:r>
        <w:t>Resolve the migration object GUID and source project name.</w:t>
      </w:r>
    </w:p>
    <w:p>
      <w:pPr>
        <w:pStyle w:val="ListBullet"/>
      </w:pPr>
      <w:r>
        <w:t>Determine the correct target project name and environment.</w:t>
      </w:r>
    </w:p>
    <w:p>
      <w:pPr>
        <w:pStyle w:val="ListBullet"/>
      </w:pPr>
      <w:r>
        <w:t>Establish a connection to the target MicroStrategy environment.</w:t>
      </w:r>
    </w:p>
    <w:p>
      <w:pPr>
        <w:pStyle w:val="ListBullet"/>
      </w:pPr>
      <w:r>
        <w:t>Execute the package import with Migration.migrate().</w:t>
      </w:r>
    </w:p>
    <w:p>
      <w:pPr>
        <w:pStyle w:val="ListBullet"/>
      </w:pPr>
      <w:r>
        <w:t>Poll the migration status until it reaches a terminal state.</w:t>
      </w:r>
    </w:p>
    <w:p>
      <w:pPr>
        <w:pStyle w:val="ListBullet"/>
      </w:pPr>
      <w:r>
        <w:t>Write the target status to the ARMS request and migration tables.</w:t>
      </w:r>
    </w:p>
    <w:p>
      <w:pPr>
        <w:pStyle w:val="ListBullet"/>
      </w:pPr>
      <w:r>
        <w:t>Insert a comment for auditability in case of success or failure.</w:t>
      </w:r>
    </w:p>
    <w:p>
      <w:pPr>
        <w:pStyle w:val="Heading1"/>
        <w:jc w:val="left"/>
      </w:pPr>
      <w:r>
        <w:t>3. Configuration constants</w:t>
      </w:r>
    </w:p>
    <w:tbl>
      <w:tblPr>
        <w:tblStyle w:val="TableGrid"/>
        <w:tblW w:type="auto" w:w="0"/>
        <w:tblLook w:firstColumn="1" w:firstRow="1" w:lastColumn="0" w:lastRow="0" w:noHBand="0" w:noVBand="1" w:val="04A0"/>
      </w:tblPr>
      <w:tblGrid>
        <w:gridCol w:w="5040"/>
        <w:gridCol w:w="5040"/>
      </w:tblGrid>
      <w:tr>
        <w:tc>
          <w:tcPr>
            <w:tcW w:type="dxa" w:w="5040"/>
          </w:tcPr>
          <w:p>
            <w:r>
              <w:t>Configuration item</w:t>
            </w:r>
          </w:p>
        </w:tc>
        <w:tc>
          <w:tcPr>
            <w:tcW w:type="dxa" w:w="5040"/>
          </w:tcPr>
          <w:p>
            <w:r>
              <w:t>Value / purpose</w:t>
            </w:r>
          </w:p>
        </w:tc>
      </w:tr>
      <w:tr>
        <w:tc>
          <w:tcPr>
            <w:tcW w:type="dxa" w:w="5040"/>
          </w:tcPr>
          <w:p>
            <w:r>
              <w:t>BASE_URL</w:t>
            </w:r>
          </w:p>
        </w:tc>
        <w:tc>
          <w:tcPr>
            <w:tcW w:type="dxa" w:w="5040"/>
          </w:tcPr>
          <w:p>
            <w:r>
              <w:t>MicroStrategy Library URL used as the source environment base URL.</w:t>
            </w:r>
          </w:p>
        </w:tc>
      </w:tr>
      <w:tr>
        <w:tc>
          <w:tcPr>
            <w:tcW w:type="dxa" w:w="5040"/>
          </w:tcPr>
          <w:p>
            <w:r>
              <w:t>SOURCE_ENVIRONMENT</w:t>
            </w:r>
          </w:p>
        </w:tc>
        <w:tc>
          <w:tcPr>
            <w:tcW w:type="dxa" w:w="5040"/>
          </w:tcPr>
          <w:p>
            <w:r>
              <w:t>Current source environment name, default value: dev.</w:t>
            </w:r>
          </w:p>
        </w:tc>
      </w:tr>
      <w:tr>
        <w:tc>
          <w:tcPr>
            <w:tcW w:type="dxa" w:w="5040"/>
          </w:tcPr>
          <w:p>
            <w:r>
              <w:t>ENVIRONMENT_URLS</w:t>
            </w:r>
          </w:p>
        </w:tc>
        <w:tc>
          <w:tcPr>
            <w:tcW w:type="dxa" w:w="5040"/>
          </w:tcPr>
          <w:p>
            <w:r>
              <w:t>Map of environment names to their target MicroStrategy URLs.</w:t>
            </w:r>
          </w:p>
        </w:tc>
      </w:tr>
      <w:tr>
        <w:tc>
          <w:tcPr>
            <w:tcW w:type="dxa" w:w="5040"/>
          </w:tcPr>
          <w:p>
            <w:r>
              <w:t>MSTR_USERNAME</w:t>
            </w:r>
          </w:p>
        </w:tc>
        <w:tc>
          <w:tcPr>
            <w:tcW w:type="dxa" w:w="5040"/>
          </w:tcPr>
          <w:p>
            <w:r>
              <w:t>MicroStrategy user name used for both source and target connections.</w:t>
            </w:r>
          </w:p>
        </w:tc>
      </w:tr>
      <w:tr>
        <w:tc>
          <w:tcPr>
            <w:tcW w:type="dxa" w:w="5040"/>
          </w:tcPr>
          <w:p>
            <w:r>
              <w:t>MSTR_PASSWORD</w:t>
            </w:r>
          </w:p>
        </w:tc>
        <w:tc>
          <w:tcPr>
            <w:tcW w:type="dxa" w:w="5040"/>
          </w:tcPr>
          <w:p>
            <w:r>
              <w:t>Credential used for the connection objects.</w:t>
            </w:r>
          </w:p>
        </w:tc>
      </w:tr>
      <w:tr>
        <w:tc>
          <w:tcPr>
            <w:tcW w:type="dxa" w:w="5040"/>
          </w:tcPr>
          <w:p>
            <w:r>
              <w:t>PROJECT_ID</w:t>
            </w:r>
          </w:p>
        </w:tc>
        <w:tc>
          <w:tcPr>
            <w:tcW w:type="dxa" w:w="5040"/>
          </w:tcPr>
          <w:p>
            <w:r>
              <w:t>MicroStrategy project identifier used for ARMS datasource calls.</w:t>
            </w:r>
          </w:p>
        </w:tc>
      </w:tr>
      <w:tr>
        <w:tc>
          <w:tcPr>
            <w:tcW w:type="dxa" w:w="5040"/>
          </w:tcPr>
          <w:p>
            <w:r>
              <w:t>REQUEST_REPORT_ID</w:t>
            </w:r>
          </w:p>
        </w:tc>
        <w:tc>
          <w:tcPr>
            <w:tcW w:type="dxa" w:w="5040"/>
          </w:tcPr>
          <w:p>
            <w:r>
              <w:t>Reference to the report used to read a request row.</w:t>
            </w:r>
          </w:p>
        </w:tc>
      </w:tr>
      <w:tr>
        <w:tc>
          <w:tcPr>
            <w:tcW w:type="dxa" w:w="5040"/>
          </w:tcPr>
          <w:p>
            <w:r>
              <w:t>DATASOURCE_INSTANCE_ID</w:t>
            </w:r>
          </w:p>
        </w:tc>
        <w:tc>
          <w:tcPr>
            <w:tcW w:type="dxa" w:w="5040"/>
          </w:tcPr>
          <w:p>
            <w:r>
              <w:t>Datasource instance used to query the ARMS metadata tables.</w:t>
            </w:r>
          </w:p>
        </w:tc>
      </w:tr>
      <w:tr>
        <w:tc>
          <w:tcPr>
            <w:tcW w:type="dxa" w:w="5040"/>
          </w:tcPr>
          <w:p>
            <w:r>
              <w:t>TARGET_PROJECT_TABLE</w:t>
            </w:r>
          </w:p>
        </w:tc>
        <w:tc>
          <w:tcPr>
            <w:tcW w:type="dxa" w:w="5040"/>
          </w:tcPr>
          <w:p>
            <w:r>
              <w:t>Lookup table containing target project names and status mapping.</w:t>
            </w:r>
          </w:p>
        </w:tc>
      </w:tr>
      <w:tr>
        <w:tc>
          <w:tcPr>
            <w:tcW w:type="dxa" w:w="5040"/>
          </w:tcPr>
          <w:p>
            <w:r>
              <w:t>STATUS_TABLE</w:t>
            </w:r>
          </w:p>
        </w:tc>
        <w:tc>
          <w:tcPr>
            <w:tcW w:type="dxa" w:w="5040"/>
          </w:tcPr>
          <w:p>
            <w:r>
              <w:t>Lookup table for status metadata and environment mapping.</w:t>
            </w:r>
          </w:p>
        </w:tc>
      </w:tr>
      <w:tr>
        <w:tc>
          <w:tcPr>
            <w:tcW w:type="dxa" w:w="5040"/>
          </w:tcPr>
          <w:p>
            <w:r>
              <w:t>TARGET_ENV_TABLE</w:t>
            </w:r>
          </w:p>
        </w:tc>
        <w:tc>
          <w:tcPr>
            <w:tcW w:type="dxa" w:w="5040"/>
          </w:tcPr>
          <w:p>
            <w:r>
              <w:t>Lookup table for target environment details such as prefix and URL.</w:t>
            </w:r>
          </w:p>
        </w:tc>
      </w:tr>
      <w:tr>
        <w:tc>
          <w:tcPr>
            <w:tcW w:type="dxa" w:w="5040"/>
          </w:tcPr>
          <w:p>
            <w:r>
              <w:t>REQUEST_TABLE</w:t>
            </w:r>
          </w:p>
        </w:tc>
        <w:tc>
          <w:tcPr>
            <w:tcW w:type="dxa" w:w="5040"/>
          </w:tcPr>
          <w:p>
            <w:r>
              <w:t>ARMS request table used for the current migration workflow.</w:t>
            </w:r>
          </w:p>
        </w:tc>
      </w:tr>
      <w:tr>
        <w:tc>
          <w:tcPr>
            <w:tcW w:type="dxa" w:w="5040"/>
          </w:tcPr>
          <w:p>
            <w:r>
              <w:t>MIGRATION_OBJECT_TABLE</w:t>
            </w:r>
          </w:p>
        </w:tc>
        <w:tc>
          <w:tcPr>
            <w:tcW w:type="dxa" w:w="5040"/>
          </w:tcPr>
          <w:p>
            <w:r>
              <w:t>Lookup table used to resolve the migration object GUID.</w:t>
            </w:r>
          </w:p>
        </w:tc>
      </w:tr>
      <w:tr>
        <w:tc>
          <w:tcPr>
            <w:tcW w:type="dxa" w:w="5040"/>
          </w:tcPr>
          <w:p>
            <w:r>
              <w:t>REQUEST_STATUS_FILTER</w:t>
            </w:r>
          </w:p>
        </w:tc>
        <w:tc>
          <w:tcPr>
            <w:tcW w:type="dxa" w:w="5040"/>
          </w:tcPr>
          <w:p>
            <w:r>
              <w:t>Statuses considered active for processing: 5, 7, 9.</w:t>
            </w:r>
          </w:p>
        </w:tc>
      </w:tr>
    </w:tbl>
    <w:p>
      <w:pPr>
        <w:pStyle w:val="Heading1"/>
        <w:jc w:val="left"/>
      </w:pPr>
      <w:r>
        <w:t>4. Execution flow</w:t>
      </w:r>
    </w:p>
    <w:p>
      <w:r>
        <w:t>1. Create a source connection with Connection(...).</w:t>
      </w:r>
    </w:p>
    <w:p>
      <w:r>
        <w:t>2. Open the datasource instance for ARMS queries.</w:t>
      </w:r>
    </w:p>
    <w:p>
      <w:r>
        <w:t>3. Select the first request row whose status matches REQUEST_STATUS_FILTER.</w:t>
      </w:r>
    </w:p>
    <w:p>
      <w:r>
        <w:t>4. Resolve the migration object GUID from the request row and migration lookup table.</w:t>
      </w:r>
    </w:p>
    <w:p>
      <w:r>
        <w:t>5. Read the source project name, target project name, and request status data.</w:t>
      </w:r>
    </w:p>
    <w:p>
      <w:r>
        <w:t>6. Determine the target environment and target project name using lookup tables and naming rules.</w:t>
      </w:r>
    </w:p>
    <w:p>
      <w:r>
        <w:t>7. Create a target connection to the resolved target environment project.</w:t>
      </w:r>
    </w:p>
    <w:p>
      <w:r>
        <w:t>8. Instantiate Migration(my_conn, id=migration_obj_guid).</w:t>
      </w:r>
    </w:p>
    <w:p>
      <w:r>
        <w:t>9. Call current_migration.migrate(target_env=target_env, target_project_name=target_project_name, generate_undo=True).</w:t>
      </w:r>
    </w:p>
    <w:p>
      <w:r>
        <w:t>10. Poll until the import reaches a terminal state via _wait_for_migration_completion().</w:t>
      </w:r>
    </w:p>
    <w:p>
      <w:r>
        <w:t>11. Insert the migration record into the ARMS dimension table.</w:t>
      </w:r>
    </w:p>
    <w:p>
      <w:r>
        <w:t>12. Write a success comment and update the request status to the target project's status id.</w:t>
      </w:r>
    </w:p>
    <w:p>
      <w:r>
        <w:t>13. Close the target connection in the finalization block.</w:t>
      </w:r>
    </w:p>
    <w:p>
      <w:pPr>
        <w:pStyle w:val="Heading1"/>
        <w:jc w:val="left"/>
      </w:pPr>
      <w:r>
        <w:t>5. Main helper functions</w:t>
      </w:r>
    </w:p>
    <w:p>
      <w:r>
        <w:rPr>
          <w:b/>
          <w:sz w:val="22"/>
        </w:rPr>
        <w:t xml:space="preserve">_normalize_lookup_key: </w:t>
      </w:r>
      <w:r>
        <w:rPr>
          <w:sz w:val="22"/>
        </w:rPr>
        <w:t>Normalizes field names to compare query response keys regardless of casing and spacing differences.</w:t>
      </w:r>
    </w:p>
    <w:p>
      <w:r>
        <w:rPr>
          <w:b/>
          <w:sz w:val="22"/>
        </w:rPr>
        <w:t xml:space="preserve">_get_first_value_from_result_data: </w:t>
      </w:r>
      <w:r>
        <w:rPr>
          <w:sz w:val="22"/>
        </w:rPr>
        <w:t>Returns the first non-empty value from a result dataset, supporting list-based and scalar responses.</w:t>
      </w:r>
    </w:p>
    <w:p>
      <w:r>
        <w:rPr>
          <w:b/>
          <w:sz w:val="22"/>
        </w:rPr>
        <w:t xml:space="preserve">_rows_from_result: </w:t>
      </w:r>
      <w:r>
        <w:rPr>
          <w:sz w:val="22"/>
        </w:rPr>
        <w:t>Converts raw datasource output into a standard list of dictionaries for downstream processing.</w:t>
      </w:r>
    </w:p>
    <w:p>
      <w:r>
        <w:rPr>
          <w:b/>
          <w:sz w:val="22"/>
        </w:rPr>
        <w:t xml:space="preserve">_resolve_migration_object_guid: </w:t>
      </w:r>
      <w:r>
        <w:rPr>
          <w:sz w:val="22"/>
        </w:rPr>
        <w:t>Looks up the migration object GUID using the request migration_key_id and the migration lookup table.</w:t>
      </w:r>
    </w:p>
    <w:p>
      <w:r>
        <w:rPr>
          <w:b/>
          <w:sz w:val="22"/>
        </w:rPr>
        <w:t xml:space="preserve">_get_target_environment_details: </w:t>
      </w:r>
      <w:r>
        <w:rPr>
          <w:sz w:val="22"/>
        </w:rPr>
        <w:t>Loads target environment metadata such as name, prefix, and URL from the environment lookup table.</w:t>
      </w:r>
    </w:p>
    <w:p>
      <w:r>
        <w:rPr>
          <w:b/>
          <w:sz w:val="22"/>
        </w:rPr>
        <w:t xml:space="preserve">_derive_target_project_name: </w:t>
      </w:r>
      <w:r>
        <w:rPr>
          <w:sz w:val="22"/>
        </w:rPr>
        <w:t>Builds the target project name from the prefix and source project name, while removing redundant prefixes.</w:t>
      </w:r>
    </w:p>
    <w:p>
      <w:r>
        <w:rPr>
          <w:b/>
          <w:sz w:val="22"/>
        </w:rPr>
        <w:t xml:space="preserve">_get_target_project_status_id: </w:t>
      </w:r>
      <w:r>
        <w:rPr>
          <w:sz w:val="22"/>
        </w:rPr>
        <w:t>Reads the target project's status_id from the project lookup table.</w:t>
      </w:r>
    </w:p>
    <w:p>
      <w:r>
        <w:rPr>
          <w:b/>
          <w:sz w:val="22"/>
        </w:rPr>
        <w:t xml:space="preserve">_mark_failure_status: </w:t>
      </w:r>
      <w:r>
        <w:rPr>
          <w:sz w:val="22"/>
        </w:rPr>
        <w:t>Marks both the request row and migration row as failed when an import fails.</w:t>
      </w:r>
    </w:p>
    <w:p>
      <w:r>
        <w:rPr>
          <w:b/>
          <w:sz w:val="22"/>
        </w:rPr>
        <w:t xml:space="preserve">_insert_comment: </w:t>
      </w:r>
      <w:r>
        <w:rPr>
          <w:sz w:val="22"/>
        </w:rPr>
        <w:t>Adds an audit comment to the ARMS comments table.</w:t>
      </w:r>
    </w:p>
    <w:p>
      <w:pPr>
        <w:pStyle w:val="Heading1"/>
        <w:jc w:val="left"/>
      </w:pPr>
      <w:r>
        <w:t>6. Key data logic</w:t>
      </w:r>
    </w:p>
    <w:p>
      <w:r>
        <w:t>The script relies on a layered lookup model: request metadata → migration lookup table → target environment table → target project table → status table. This makes the import workflow deterministic and allows environment-specific naming and status mapping without hardcoded project names in every step.</w:t>
      </w:r>
    </w:p>
    <w:p>
      <w:pPr>
        <w:pStyle w:val="Heading1"/>
        <w:jc w:val="left"/>
      </w:pPr>
      <w:r>
        <w:t>7. Validation and failure handling</w:t>
      </w:r>
    </w:p>
    <w:p>
      <w:pPr>
        <w:pStyle w:val="ListBullet"/>
      </w:pPr>
      <w:r>
        <w:t>No active request rows are returned: the script raises ValueError and stops.</w:t>
      </w:r>
    </w:p>
    <w:p>
      <w:pPr>
        <w:pStyle w:val="ListBullet"/>
      </w:pPr>
      <w:r>
        <w:t>No migration object GUID is found: the script aborts before the migration starts.</w:t>
      </w:r>
    </w:p>
    <w:p>
      <w:pPr>
        <w:pStyle w:val="ListBullet"/>
      </w:pPr>
      <w:r>
        <w:t>The target project name is missing: the script cannot create a valid target connection.</w:t>
      </w:r>
    </w:p>
    <w:p>
      <w:pPr>
        <w:pStyle w:val="ListBullet"/>
      </w:pPr>
      <w:r>
        <w:t>The status mapping is missing from the lookup table: no target status id can be resolved.</w:t>
      </w:r>
    </w:p>
    <w:p>
      <w:pPr>
        <w:pStyle w:val="ListBullet"/>
      </w:pPr>
      <w:r>
        <w:t>If Migration.migrate() fails, the failure status is written and a comment is inserted before the exception is re-raised.</w:t>
      </w:r>
    </w:p>
    <w:p>
      <w:pPr>
        <w:pStyle w:val="ListBullet"/>
      </w:pPr>
      <w:r>
        <w:t>If the import succeeds but the request status update fails, the import may already exist while the request table remains out of sync.</w:t>
      </w:r>
    </w:p>
    <w:p>
      <w:pPr>
        <w:pStyle w:val="Heading1"/>
        <w:jc w:val="left"/>
      </w:pPr>
      <w:r>
        <w:t>8. Representative code</w:t>
      </w:r>
    </w:p>
    <w:p>
      <w:pPr>
        <w:jc w:val="left"/>
      </w:pPr>
      <w:r>
        <w:rPr>
          <w:rFonts w:ascii="Consolas" w:hAnsi="Consolas"/>
          <w:sz w:val="20"/>
        </w:rPr>
        <w:t>request_rows = _fetch_requests_for_statuses(db_instance, PROJECT_ID, REQUEST_STATUS_FILTER)</w:t>
      </w:r>
      <w:r>
        <w:rPr>
          <w:rFonts w:ascii="Consolas" w:hAnsi="Consolas"/>
          <w:sz w:val="20"/>
        </w:rPr>
        <w:br/>
      </w:r>
      <w:r>
        <w:rPr>
          <w:rFonts w:ascii="Consolas" w:hAnsi="Consolas"/>
          <w:sz w:val="20"/>
        </w:rPr>
        <w:t>migration_obj_guid = _resolve_migration_object_guid(db_instance, PROJECT_ID, request_row) or ""</w:t>
      </w:r>
      <w:r>
        <w:rPr>
          <w:rFonts w:ascii="Consolas" w:hAnsi="Consolas"/>
          <w:sz w:val="20"/>
        </w:rPr>
        <w:br/>
      </w:r>
      <w:r>
        <w:rPr>
          <w:rFonts w:ascii="Consolas" w:hAnsi="Consolas"/>
          <w:sz w:val="20"/>
        </w:rPr>
        <w:t>target_env_details = _get_target_environment_details(db_instance, target_env_id, PROJECT_ID)</w:t>
      </w:r>
      <w:r>
        <w:rPr>
          <w:rFonts w:ascii="Consolas" w:hAnsi="Consolas"/>
          <w:sz w:val="20"/>
        </w:rPr>
        <w:br/>
      </w:r>
      <w:r>
        <w:rPr>
          <w:rFonts w:ascii="Consolas" w:hAnsi="Consolas"/>
          <w:sz w:val="20"/>
        </w:rPr>
        <w:t>import_result = current_migration.migrate(</w:t>
      </w:r>
      <w:r>
        <w:rPr>
          <w:rFonts w:ascii="Consolas" w:hAnsi="Consolas"/>
          <w:sz w:val="20"/>
        </w:rPr>
        <w:br/>
      </w:r>
      <w:r>
        <w:rPr>
          <w:rFonts w:ascii="Consolas" w:hAnsi="Consolas"/>
          <w:sz w:val="20"/>
        </w:rPr>
        <w:t xml:space="preserve">    target_env=target_env,</w:t>
      </w:r>
      <w:r>
        <w:rPr>
          <w:rFonts w:ascii="Consolas" w:hAnsi="Consolas"/>
          <w:sz w:val="20"/>
        </w:rPr>
        <w:br/>
      </w:r>
      <w:r>
        <w:rPr>
          <w:rFonts w:ascii="Consolas" w:hAnsi="Consolas"/>
          <w:sz w:val="20"/>
        </w:rPr>
        <w:t xml:space="preserve">    target_project_name=target_project_name,</w:t>
      </w:r>
      <w:r>
        <w:rPr>
          <w:rFonts w:ascii="Consolas" w:hAnsi="Consolas"/>
          <w:sz w:val="20"/>
        </w:rPr>
        <w:br/>
      </w:r>
      <w:r>
        <w:rPr>
          <w:rFonts w:ascii="Consolas" w:hAnsi="Consolas"/>
          <w:sz w:val="20"/>
        </w:rPr>
        <w:t xml:space="preserve">    generate_undo=True,</w:t>
      </w:r>
      <w:r>
        <w:rPr>
          <w:rFonts w:ascii="Consolas" w:hAnsi="Consolas"/>
          <w:sz w:val="20"/>
        </w:rPr>
        <w:br/>
      </w:r>
      <w:r>
        <w:rPr>
          <w:rFonts w:ascii="Consolas" w:hAnsi="Consolas"/>
          <w:sz w:val="20"/>
        </w:rPr>
        <w:t>)</w:t>
      </w:r>
      <w:r>
        <w:rPr>
          <w:rFonts w:ascii="Consolas" w:hAnsi="Consolas"/>
          <w:sz w:val="20"/>
        </w:rPr>
        <w:br/>
      </w:r>
      <w:r>
        <w:rPr>
          <w:rFonts w:ascii="Consolas" w:hAnsi="Consolas"/>
          <w:sz w:val="20"/>
        </w:rPr>
        <w:t>_wait_for_migration_completion(current_migration)</w:t>
      </w:r>
      <w:r>
        <w:rPr>
          <w:rFonts w:ascii="Consolas" w:hAnsi="Consolas"/>
          <w:sz w:val="20"/>
        </w:rPr>
        <w:br/>
      </w:r>
      <w:r>
        <w:rPr>
          <w:rFonts w:ascii="Consolas" w:hAnsi="Consolas"/>
          <w:sz w:val="20"/>
        </w:rPr>
        <w:t>db_instance.execute_query(</w:t>
      </w:r>
      <w:r>
        <w:rPr>
          <w:rFonts w:ascii="Consolas" w:hAnsi="Consolas"/>
          <w:sz w:val="20"/>
        </w:rPr>
        <w:br/>
      </w:r>
      <w:r>
        <w:rPr>
          <w:rFonts w:ascii="Consolas" w:hAnsi="Consolas"/>
          <w:sz w:val="20"/>
        </w:rPr>
        <w:t xml:space="preserve">    query=f"UPDATE arms.t_mig_dim_request SET status_id={target_status_id} WHERE request_id={request_id};",</w:t>
      </w:r>
      <w:r>
        <w:rPr>
          <w:rFonts w:ascii="Consolas" w:hAnsi="Consolas"/>
          <w:sz w:val="20"/>
        </w:rPr>
        <w:br/>
      </w:r>
      <w:r>
        <w:rPr>
          <w:rFonts w:ascii="Consolas" w:hAnsi="Consolas"/>
          <w:sz w:val="20"/>
        </w:rPr>
        <w:t xml:space="preserve">    project_id=PROJECT_ID,</w:t>
      </w:r>
      <w:r>
        <w:rPr>
          <w:rFonts w:ascii="Consolas" w:hAnsi="Consolas"/>
          <w:sz w:val="20"/>
        </w:rPr>
        <w:br/>
      </w:r>
      <w:r>
        <w:rPr>
          <w:rFonts w:ascii="Consolas" w:hAnsi="Consolas"/>
          <w:sz w:val="20"/>
        </w:rPr>
        <w:t>)</w:t>
      </w:r>
    </w:p>
    <w:p>
      <w:pPr>
        <w:pStyle w:val="Heading1"/>
        <w:jc w:val="left"/>
      </w:pPr>
      <w:r>
        <w:t>9. Operational notes</w:t>
      </w:r>
    </w:p>
    <w:p>
      <w:pPr>
        <w:pStyle w:val="ListBullet"/>
      </w:pPr>
      <w:r>
        <w:t>The script expects that the ARMS lookup tables are already populated and consistent with the target project naming model.</w:t>
      </w:r>
    </w:p>
    <w:p>
      <w:pPr>
        <w:pStyle w:val="ListBullet"/>
      </w:pPr>
      <w:r>
        <w:t>The script reads only the first matching request row and treats it as the active migration context.</w:t>
      </w:r>
    </w:p>
    <w:p>
      <w:pPr>
        <w:pStyle w:val="ListBullet"/>
      </w:pPr>
      <w:r>
        <w:t>Target URLs are resolved from a centralized map; if no explicit environment mapping is defined, the script falls back to the source base URL.</w:t>
      </w:r>
    </w:p>
    <w:p>
      <w:pPr>
        <w:pStyle w:val="ListBullet"/>
      </w:pPr>
      <w:r>
        <w:t>Connections are always closed in the finalization block, even if the migration or status update fails.</w:t>
      </w:r>
    </w:p>
    <w:p>
      <w:pPr>
        <w:pStyle w:val="ListBullet"/>
      </w:pPr>
      <w:r>
        <w:t>Credentials are embedded in the script and should be managed according to the environment's security policy.</w:t>
      </w:r>
    </w:p>
    <w:p>
      <w:r>
        <w:br w:type="page"/>
      </w:r>
    </w:p>
    <w:p>
      <w:pPr>
        <w:pStyle w:val="Heading1"/>
        <w:jc w:val="left"/>
      </w:pPr>
      <w:r>
        <w:t>Appendix: script path</w:t>
      </w:r>
    </w:p>
    <w:p>
      <w:r>
        <w:t>File: import_package.py</w:t>
      </w:r>
    </w:p>
    <w:p>
      <w:r>
        <w:t>Repository: C:/Users/psokulski/Documents/Projects/BFA/mstrio-arms-kroschu</w:t>
      </w:r>
    </w:p>
    <w:p>
      <w:r>
        <w:t>Related documentation: docs/import_package.md</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BfA Import Package Script</dc:title>
  <dc:subject>Technical documentation for MicroStrategy migration import automation</dc:subject>
  <dc:creator>BfA</dc:creator>
  <cp:keywords>MicroStrategy; migration; ARMS; import script</cp:keywords>
  <dc:description>generated by python-docx</dc:description>
  <cp:lastModifiedBy/>
  <cp:revision>1</cp:revision>
  <dcterms:created xsi:type="dcterms:W3CDTF">2013-12-23T23:15:00Z</dcterms:created>
  <dcterms:modified xsi:type="dcterms:W3CDTF">2013-12-23T23:15:00Z</dcterms:modified>
  <cp:category/>
</cp:coreProperties>
</file>