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jc w:val="center"/>
      </w:pPr>
      <w:r>
        <w:rPr>
          <w:b/>
          <w:color w:val="07133A"/>
          <w:sz w:val="44"/>
        </w:rPr>
        <w:t>Production Ready Page Copy v2</w:t>
      </w:r>
    </w:p>
    <w:p>
      <w:pPr>
        <w:spacing w:line="252" w:lineRule="auto"/>
        <w:jc w:val="center"/>
      </w:pPr>
      <w:r>
        <w:rPr>
          <w:color w:val="4B5563"/>
          <w:sz w:val="20"/>
        </w:rPr>
        <w:t>Successfulbob LLC website copy, revised with ROI framing and simplified website scope</w:t>
      </w:r>
    </w:p>
    <w:p>
      <w:pPr>
        <w:spacing w:line="252" w:lineRule="auto"/>
      </w:pPr>
    </w:p>
    <w:p>
      <w:pPr>
        <w:pStyle w:val="Heading2"/>
        <w:spacing w:line="252" w:lineRule="auto"/>
      </w:pPr>
      <w:r>
        <w:t>SEO working notes</w:t>
      </w:r>
    </w:p>
    <w:p>
      <w:pPr>
        <w:spacing w:after="140" w:line="252" w:lineRule="auto"/>
      </w:pPr>
      <w:r>
        <w:t>Primary SEO target: Production Ready</w:t>
      </w:r>
      <w:r>
        <w:br/>
      </w:r>
      <w:r>
        <w:t>Supporting terms: Production Ready go to market, Production Ready GTM, product messaging framework, technical product marketing, product features to business value, go to market strategy for startups, technical go to market strategy</w:t>
      </w:r>
    </w:p>
    <w:p>
      <w:pPr>
        <w:spacing w:after="140" w:line="252" w:lineRule="auto"/>
      </w:pPr>
      <w:r>
        <w:t>Suggested meta title: Production Ready | Technical Go to Market Framework for Startups</w:t>
      </w:r>
    </w:p>
    <w:p>
      <w:pPr>
        <w:spacing w:after="140" w:line="252" w:lineRule="auto"/>
      </w:pPr>
      <w:r>
        <w:t>Suggested meta description: Production Ready helps technical startups turn founder knowledge and product depth into a repeatable go to market story, demo flow, partner narrative, and executive message.</w:t>
      </w:r>
    </w:p>
    <w:p>
      <w:pPr>
        <w:pStyle w:val="Heading2"/>
        <w:spacing w:line="252" w:lineRule="auto"/>
      </w:pPr>
      <w:r>
        <w:t>Hero section</w:t>
      </w:r>
    </w:p>
    <w:p>
      <w:pPr>
        <w:pStyle w:val="Heading3"/>
        <w:spacing w:line="252" w:lineRule="auto"/>
      </w:pPr>
      <w:r>
        <w:t>H1: Make your GTM as production-ready as your product.</w:t>
      </w:r>
    </w:p>
    <w:p>
      <w:pPr>
        <w:spacing w:after="140" w:line="252" w:lineRule="auto"/>
      </w:pPr>
      <w:r>
        <w:t>Your product may be tested, proven, and ready for real customers.</w:t>
      </w:r>
      <w:r>
        <w:br/>
      </w:r>
      <w:r/>
      <w:r>
        <w:br/>
      </w:r>
      <w:r>
        <w:t>But is the story ready? Is the demo ready? Are sales, partners, executives, and the field ready to explain why it matters without pulling the founder into every room?</w:t>
      </w:r>
      <w:r>
        <w:br/>
      </w:r>
      <w:r/>
      <w:r>
        <w:br/>
      </w:r>
      <w:r>
        <w:t>Production Ready is the Successfulbob framework for technical startups that need to turn product depth into a repeatable market story the whole company can understand, sell, demo, and carry.</w:t>
      </w:r>
      <w:r>
        <w:br/>
      </w:r>
      <w:r/>
      <w:r>
        <w:br/>
      </w:r>
      <w:r>
        <w:t>This is not about making the product less technical. It is about making the value easier for the right people to find, follow, trust, and repeat.</w:t>
      </w:r>
    </w:p>
    <w:p>
      <w:pPr>
        <w:spacing w:after="140" w:line="252" w:lineRule="auto"/>
      </w:pPr>
      <w:r>
        <w:t>CTA buttons: Schedule a 30-Minute Fit Call | Start with the Assessment</w:t>
      </w:r>
    </w:p>
    <w:p>
      <w:pPr>
        <w:spacing w:after="140" w:line="252" w:lineRule="auto"/>
      </w:pPr>
      <w:r>
        <w:t>Small supporting line: The Production Ready Assessment is a $20k diagnostic that helps determine whether Foundation, Transformation, or a lighter path is the right next step.</w:t>
      </w:r>
    </w:p>
    <w:p>
      <w:pPr>
        <w:pStyle w:val="Heading2"/>
        <w:spacing w:line="252" w:lineRule="auto"/>
      </w:pPr>
      <w:r>
        <w:t>What Production Ready means</w:t>
      </w:r>
    </w:p>
    <w:p>
      <w:pPr>
        <w:pStyle w:val="Heading3"/>
        <w:spacing w:line="252" w:lineRule="auto"/>
      </w:pPr>
      <w:r>
        <w:t>Production ready should not stop at the product.</w:t>
      </w:r>
    </w:p>
    <w:p>
      <w:pPr>
        <w:spacing w:after="140" w:line="252" w:lineRule="auto"/>
      </w:pPr>
      <w:r>
        <w:t>Software teams do not move code into production just because it worked once.</w:t>
      </w:r>
      <w:r>
        <w:br/>
      </w:r>
      <w:r/>
      <w:r>
        <w:br/>
      </w:r>
      <w:r>
        <w:t>They test it. They harden it. They document it. They make sure it can be supported, repeated, measured, and trusted in the real world.</w:t>
      </w:r>
      <w:r>
        <w:br/>
      </w:r>
      <w:r/>
      <w:r>
        <w:br/>
      </w:r>
      <w:r>
        <w:t>Your go to market story deserves the same standard. Production Ready helps technical companies ask the questions that matter before they try to scale:</w:t>
      </w:r>
    </w:p>
    <w:p>
      <w:pPr>
        <w:pStyle w:val="ListBullet"/>
        <w:spacing w:after="60" w:line="252" w:lineRule="auto"/>
      </w:pPr>
      <w:r>
        <w:rPr>
          <w:color w:val="121826"/>
          <w:sz w:val="20"/>
        </w:rPr>
        <w:t>Can someone besides the founder explain the value clearly?</w:t>
      </w:r>
    </w:p>
    <w:p>
      <w:pPr>
        <w:pStyle w:val="ListBullet"/>
        <w:spacing w:after="60" w:line="252" w:lineRule="auto"/>
      </w:pPr>
      <w:r>
        <w:rPr>
          <w:color w:val="121826"/>
          <w:sz w:val="20"/>
        </w:rPr>
        <w:t>Can the demo guide buyers toward a business reason to care?</w:t>
      </w:r>
    </w:p>
    <w:p>
      <w:pPr>
        <w:pStyle w:val="ListBullet"/>
        <w:spacing w:after="60" w:line="252" w:lineRule="auto"/>
      </w:pPr>
      <w:r>
        <w:rPr>
          <w:color w:val="121826"/>
          <w:sz w:val="20"/>
        </w:rPr>
        <w:t>Can sales explain the product without turning it into a feature tour?</w:t>
      </w:r>
    </w:p>
    <w:p>
      <w:pPr>
        <w:pStyle w:val="ListBullet"/>
        <w:spacing w:after="60" w:line="252" w:lineRule="auto"/>
      </w:pPr>
      <w:r>
        <w:rPr>
          <w:color w:val="121826"/>
          <w:sz w:val="20"/>
        </w:rPr>
        <w:t>Can partners understand the story well enough to repeat it?</w:t>
      </w:r>
    </w:p>
    <w:p>
      <w:pPr>
        <w:pStyle w:val="ListBullet"/>
        <w:spacing w:after="60" w:line="252" w:lineRule="auto"/>
      </w:pPr>
      <w:r>
        <w:rPr>
          <w:color w:val="121826"/>
          <w:sz w:val="20"/>
        </w:rPr>
        <w:t>Can executives see why this matters now?</w:t>
      </w:r>
    </w:p>
    <w:p>
      <w:pPr>
        <w:pStyle w:val="ListBullet"/>
        <w:spacing w:after="60" w:line="252" w:lineRule="auto"/>
      </w:pPr>
      <w:r>
        <w:rPr>
          <w:color w:val="121826"/>
          <w:sz w:val="20"/>
        </w:rPr>
        <w:t>Can the market understand what problem you solve before their attention runs out?</w:t>
      </w:r>
    </w:p>
    <w:p>
      <w:pPr>
        <w:spacing w:after="140" w:line="252" w:lineRule="auto"/>
      </w:pPr>
      <w:r>
        <w:t>If the answer is “not consistently,” the company probably does not have a product problem. It has a translation and repeatability problem. That is what Production Ready is built to fix.</w:t>
      </w:r>
    </w:p>
    <w:p>
      <w:pPr>
        <w:pStyle w:val="Heading2"/>
        <w:spacing w:line="252" w:lineRule="auto"/>
      </w:pPr>
      <w:r>
        <w:t>Who Production Ready is for</w:t>
      </w:r>
    </w:p>
    <w:p>
      <w:pPr>
        <w:pStyle w:val="Heading3"/>
        <w:spacing w:line="252" w:lineRule="auto"/>
      </w:pPr>
      <w:r>
        <w:t>Built for technical startups whose product is ahead of their market story.</w:t>
      </w:r>
    </w:p>
    <w:p>
      <w:pPr>
        <w:spacing w:after="140" w:line="252" w:lineRule="auto"/>
      </w:pPr>
      <w:r>
        <w:t>Production Ready is for companies that have built something real, but know the market is not yet understanding it quickly enough. You may be a fit if:</w:t>
      </w:r>
    </w:p>
    <w:p>
      <w:pPr>
        <w:pStyle w:val="ListBullet"/>
        <w:spacing w:after="60" w:line="252" w:lineRule="auto"/>
      </w:pPr>
      <w:r>
        <w:rPr>
          <w:color w:val="121826"/>
          <w:sz w:val="20"/>
        </w:rPr>
        <w:t>The founder is still pulled into too many strategic sales calls</w:t>
      </w:r>
    </w:p>
    <w:p>
      <w:pPr>
        <w:pStyle w:val="ListBullet"/>
        <w:spacing w:after="60" w:line="252" w:lineRule="auto"/>
      </w:pPr>
      <w:r>
        <w:rPr>
          <w:color w:val="121826"/>
          <w:sz w:val="20"/>
        </w:rPr>
        <w:t>Demos are accurate, but feel like tours of the product instead of a story about the buyer’s pain</w:t>
      </w:r>
    </w:p>
    <w:p>
      <w:pPr>
        <w:pStyle w:val="ListBullet"/>
        <w:spacing w:after="60" w:line="252" w:lineRule="auto"/>
      </w:pPr>
      <w:r>
        <w:rPr>
          <w:color w:val="121826"/>
          <w:sz w:val="20"/>
        </w:rPr>
        <w:t>Sales, product, marketing, partners, and executives explain the company differently</w:t>
      </w:r>
    </w:p>
    <w:p>
      <w:pPr>
        <w:pStyle w:val="ListBullet"/>
        <w:spacing w:after="60" w:line="252" w:lineRule="auto"/>
      </w:pPr>
      <w:r>
        <w:rPr>
          <w:color w:val="121826"/>
          <w:sz w:val="20"/>
        </w:rPr>
        <w:t>Buyers understand the category, but not why your company wins</w:t>
      </w:r>
    </w:p>
    <w:p>
      <w:pPr>
        <w:pStyle w:val="ListBullet"/>
        <w:spacing w:after="60" w:line="252" w:lineRule="auto"/>
      </w:pPr>
      <w:r>
        <w:rPr>
          <w:color w:val="121826"/>
          <w:sz w:val="20"/>
        </w:rPr>
        <w:t>Technical features are strong, but the business value is not landing consistently</w:t>
      </w:r>
    </w:p>
    <w:p>
      <w:pPr>
        <w:pStyle w:val="ListBullet"/>
        <w:spacing w:after="60" w:line="252" w:lineRule="auto"/>
      </w:pPr>
      <w:r>
        <w:rPr>
          <w:color w:val="121826"/>
          <w:sz w:val="20"/>
        </w:rPr>
        <w:t>Partner interest exists, but partner repeatability does not</w:t>
      </w:r>
    </w:p>
    <w:p>
      <w:pPr>
        <w:pStyle w:val="ListBullet"/>
        <w:spacing w:after="60" w:line="252" w:lineRule="auto"/>
      </w:pPr>
      <w:r>
        <w:rPr>
          <w:color w:val="121826"/>
          <w:sz w:val="20"/>
        </w:rPr>
        <w:t>Events, webinars, or executive conversations are coming up and the message needs to be sharper</w:t>
      </w:r>
    </w:p>
    <w:p>
      <w:pPr>
        <w:pStyle w:val="ListBullet"/>
        <w:spacing w:after="60" w:line="252" w:lineRule="auto"/>
      </w:pPr>
      <w:r>
        <w:rPr>
          <w:color w:val="121826"/>
          <w:sz w:val="20"/>
        </w:rPr>
        <w:t>You are preparing for larger customers, a funding round, strategic partners, or a more serious field push</w:t>
      </w:r>
    </w:p>
    <w:p>
      <w:pPr>
        <w:spacing w:after="140" w:line="252" w:lineRule="auto"/>
      </w:pPr>
      <w:r>
        <w:t>You are probably too early for the full Production Ready path if the product is not commercially validated, there are no real customer signals yet, or the market opportunity cannot justify the investment.</w:t>
      </w:r>
      <w:r>
        <w:br/>
      </w:r>
      <w:r/>
      <w:r>
        <w:br/>
      </w:r>
      <w:r>
        <w:t>That does not mean there is no way to help. It just means the first step should probably be advisory, a smaller review, or free resources before a full Production Ready engagement.</w:t>
      </w:r>
    </w:p>
    <w:p>
      <w:pPr>
        <w:pStyle w:val="Heading2"/>
        <w:spacing w:line="252" w:lineRule="auto"/>
      </w:pPr>
      <w:r>
        <w:t>The problem Production Ready solves</w:t>
      </w:r>
    </w:p>
    <w:p>
      <w:pPr>
        <w:pStyle w:val="Heading3"/>
        <w:spacing w:line="252" w:lineRule="auto"/>
      </w:pPr>
      <w:r>
        <w:t>The founder can explain it. The company needs to be able to.</w:t>
      </w:r>
    </w:p>
    <w:p>
      <w:pPr>
        <w:spacing w:after="140" w:line="252" w:lineRule="auto"/>
      </w:pPr>
      <w:r>
        <w:t>A founder often sells the first version of the story through force of context.</w:t>
      </w:r>
      <w:r>
        <w:br/>
      </w:r>
      <w:r/>
      <w:r>
        <w:br/>
      </w:r>
      <w:r>
        <w:t>They know why the product exists. They know the original pain. They know the technical tradeoffs. They know which parts matter and which parts are just impressive.</w:t>
      </w:r>
      <w:r>
        <w:br/>
      </w:r>
      <w:r/>
      <w:r>
        <w:br/>
      </w:r>
      <w:r>
        <w:t>The problem is that the market does not have that context.</w:t>
      </w:r>
      <w:r>
        <w:br/>
      </w:r>
      <w:r/>
      <w:r>
        <w:br/>
      </w:r>
      <w:r>
        <w:t>A buyer is listening for their own pain. A CFO is listening for cost and risk. A CISO is listening for exposure. A CTO is listening for technical truth and operational impact. A partner is listening for whether they can explain this without sounding foolish in front of their customer.</w:t>
      </w:r>
      <w:r>
        <w:br/>
      </w:r>
      <w:r/>
      <w:r>
        <w:br/>
      </w:r>
      <w:r>
        <w:t>Every one of those audiences is spending attention to understand you. Production Ready helps make sure you are spending that attention on the things they actually care about.</w:t>
      </w:r>
    </w:p>
    <w:tbl>
      <w:tblPr>
        <w:tblW w:type="auto" w:w="0"/>
        <w:jc w:val="center"/>
        <w:tblLayout w:type="autofit"/>
        <w:tblLook w:firstColumn="1" w:firstRow="1" w:lastColumn="0" w:lastRow="0" w:noHBand="0" w:noVBand="1" w:val="04A0"/>
        <w:tblBorders>
          <w:top w:val="single" w:sz="4" w:space="0" w:color="AFC0E8"/>
          <w:left w:val="single" w:sz="4" w:space="0" w:color="AFC0E8"/>
          <w:bottom w:val="single" w:sz="4" w:space="0" w:color="AFC0E8"/>
          <w:right w:val="single" w:sz="4" w:space="0" w:color="AFC0E8"/>
          <w:insideH w:val="single" w:sz="4" w:space="0" w:color="AFC0E8"/>
          <w:insideV w:val="single" w:sz="4" w:space="0" w:color="AFC0E8"/>
        </w:tblBorders>
      </w:tblPr>
      <w:tblGrid>
        <w:gridCol w:w="10224"/>
      </w:tblGrid>
      <w:tr>
        <w:tc>
          <w:tcPr>
            <w:tcW w:type="dxa" w:w="10224"/>
            <w:shd w:fill="EAF0FF"/>
            <w:vAlign w:val="center"/>
          </w:tcPr>
          <w:p>
            <w:pPr>
              <w:spacing w:after="0"/>
            </w:pPr>
            <w:r>
              <w:rPr>
                <w:b/>
                <w:color w:val="07133A"/>
                <w:sz w:val="20"/>
              </w:rPr>
              <w:t>If the story only works when the founder explains it, the story is not ready to scale.</w:t>
            </w:r>
          </w:p>
        </w:tc>
      </w:tr>
    </w:tbl>
    <w:p>
      <w:pPr>
        <w:spacing w:line="252" w:lineRule="auto"/>
      </w:pPr>
    </w:p>
    <w:p>
      <w:pPr>
        <w:pStyle w:val="Heading2"/>
        <w:spacing w:line="252" w:lineRule="auto"/>
      </w:pPr>
      <w:r>
        <w:t>What Production Ready creates</w:t>
      </w:r>
    </w:p>
    <w:p>
      <w:pPr>
        <w:pStyle w:val="Heading3"/>
        <w:spacing w:line="252" w:lineRule="auto"/>
      </w:pPr>
      <w:r>
        <w:t>What the engagement produces</w:t>
      </w:r>
    </w:p>
    <w:p>
      <w:pPr>
        <w:spacing w:after="140" w:line="252" w:lineRule="auto"/>
      </w:pPr>
      <w:r>
        <w:t>Production Ready creates the system behind the story. Not just a cleaner tagline. Not just a nicer deck. The goal is to build the pieces your team needs to explain, sell, demo, and improve the story without depending on one person to translate it every time.</w:t>
      </w:r>
    </w:p>
    <w:p>
      <w:pPr>
        <w:pStyle w:val="Heading3"/>
        <w:spacing w:line="252" w:lineRule="auto"/>
      </w:pPr>
      <w:r>
        <w:t>Technical GTM Gap Map</w:t>
      </w:r>
    </w:p>
    <w:p>
      <w:pPr>
        <w:spacing w:after="140" w:line="252" w:lineRule="auto"/>
      </w:pPr>
      <w:r>
        <w:t>A clear view of where the current story is breaking across buyers, demos, field conversations, partner messaging, executive narrative, and event readiness.</w:t>
      </w:r>
    </w:p>
    <w:p>
      <w:pPr>
        <w:pStyle w:val="Heading3"/>
        <w:spacing w:line="252" w:lineRule="auto"/>
      </w:pPr>
      <w:r>
        <w:t>Product-to-Value Messaging Matrix</w:t>
      </w:r>
    </w:p>
    <w:p>
      <w:pPr>
        <w:spacing w:after="140" w:line="252" w:lineRule="auto"/>
      </w:pPr>
      <w:r>
        <w:t>A practical product messaging framework that connects features to buyer pains, proof points, business outcomes, objections, and urgency.</w:t>
      </w:r>
    </w:p>
    <w:p>
      <w:pPr>
        <w:pStyle w:val="Heading3"/>
        <w:spacing w:line="252" w:lineRule="auto"/>
      </w:pPr>
      <w:r>
        <w:t>Executive Narrative System</w:t>
      </w:r>
    </w:p>
    <w:p>
      <w:pPr>
        <w:spacing w:after="140" w:line="252" w:lineRule="auto"/>
      </w:pPr>
      <w:r>
        <w:t>A company-level story for executives, board members, strategic partners, and enterprise buyers. Why this matters, why now, why you, and why the market should believe it.</w:t>
      </w:r>
    </w:p>
    <w:p>
      <w:pPr>
        <w:pStyle w:val="Heading3"/>
        <w:spacing w:line="252" w:lineRule="auto"/>
      </w:pPr>
      <w:r>
        <w:t>Demo &amp; Conversation Architecture</w:t>
      </w:r>
    </w:p>
    <w:p>
      <w:pPr>
        <w:spacing w:after="140" w:line="252" w:lineRule="auto"/>
      </w:pPr>
      <w:r>
        <w:t>A structure for what to show, what to say, why it matters, and how to tailor the conversation by audience without turning the demo into a museum tour of every feature.</w:t>
      </w:r>
    </w:p>
    <w:p>
      <w:pPr>
        <w:pStyle w:val="Heading3"/>
        <w:spacing w:line="252" w:lineRule="auto"/>
      </w:pPr>
      <w:r>
        <w:t>Partner Enablement Strategy</w:t>
      </w:r>
    </w:p>
    <w:p>
      <w:pPr>
        <w:spacing w:after="140" w:line="252" w:lineRule="auto"/>
      </w:pPr>
      <w:r>
        <w:t>A repeatable partner story, enablement journey, readiness criteria, and certification direction so partners can understand, trust, and carry the message.</w:t>
      </w:r>
    </w:p>
    <w:p>
      <w:pPr>
        <w:pStyle w:val="Heading3"/>
        <w:spacing w:line="252" w:lineRule="auto"/>
      </w:pPr>
      <w:r>
        <w:t>Event &amp; Speaking Readiness</w:t>
      </w:r>
    </w:p>
    <w:p>
      <w:pPr>
        <w:spacing w:after="140" w:line="252" w:lineRule="auto"/>
      </w:pPr>
      <w:r>
        <w:t>Messaging and conversation guidance for webinars, conferences, field events, executive briefings, customer meetings, and other moments where the story has to work quickly.</w:t>
      </w:r>
    </w:p>
    <w:p>
      <w:pPr>
        <w:pStyle w:val="Heading3"/>
        <w:spacing w:line="252" w:lineRule="auto"/>
      </w:pPr>
      <w:r>
        <w:t>Production Ready Roadmap</w:t>
      </w:r>
    </w:p>
    <w:p>
      <w:pPr>
        <w:spacing w:after="140" w:line="252" w:lineRule="auto"/>
      </w:pPr>
      <w:r>
        <w:t>A prioritized plan for internal adoption, enablement rollout, field testing, feedback loops, and ownership transfer.</w:t>
      </w:r>
    </w:p>
    <w:p>
      <w:pPr>
        <w:pStyle w:val="Heading2"/>
        <w:spacing w:line="252" w:lineRule="auto"/>
      </w:pPr>
      <w:r>
        <w:t>Engagement paths</w:t>
      </w:r>
    </w:p>
    <w:p>
      <w:pPr>
        <w:pStyle w:val="Heading3"/>
        <w:spacing w:line="252" w:lineRule="auto"/>
      </w:pPr>
      <w:r>
        <w:t>Three objective-based ways to engage.</w:t>
      </w:r>
    </w:p>
    <w:p>
      <w:pPr>
        <w:spacing w:after="140" w:line="252" w:lineRule="auto"/>
      </w:pPr>
      <w:r>
        <w:t>Production Ready is not sold as open-ended access to time. The work is tied to objective deliverables, readiness milestones, and the level of transfer your team needs.</w:t>
      </w:r>
      <w:r>
        <w:br/>
      </w:r>
      <w:r/>
      <w:r>
        <w:br/>
      </w:r>
      <w:r>
        <w:t>The pricing should be evaluated against the value of the problem.</w:t>
      </w:r>
      <w:r>
        <w:br/>
      </w:r>
      <w:r/>
      <w:r>
        <w:br/>
      </w:r>
      <w:r>
        <w:t>For a technical B2B company, one clearer enterprise opportunity, one better-converting event, one activated strategic partner, one stronger funding narrative, or one sales team that can explain the product without the founder in every room can easily change the math.</w:t>
      </w:r>
      <w:r>
        <w:br/>
      </w:r>
      <w:r/>
      <w:r>
        <w:br/>
      </w:r>
      <w:r>
        <w:t>If the product is strong and the market opportunity is real, unclear GTM is expensive. It shows up as stalled deals, inconsistent demos, weak partner activation, slow sales cycles, confused buyers, and missed enterprise-value moments. Production Ready is built to fix the conditions that cause those problems.</w:t>
      </w:r>
    </w:p>
    <w:p>
      <w:pPr>
        <w:spacing w:line="252" w:lineRule="auto"/>
      </w:pPr>
      <w:r>
        <w:br w:type="page"/>
      </w:r>
    </w:p>
    <w:tbl>
      <w:tblPr>
        <w:tblW w:type="auto" w:w="0"/>
        <w:jc w:val="center"/>
        <w:tblLook w:firstColumn="1" w:firstRow="1" w:lastColumn="0" w:lastRow="0" w:noHBand="0" w:noVBand="1" w:val="04A0"/>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Pr>
      <w:tblGrid>
        <w:gridCol w:w="2556"/>
        <w:gridCol w:w="2556"/>
        <w:gridCol w:w="2556"/>
        <w:gridCol w:w="2556"/>
      </w:tblGrid>
      <w:tr>
        <w:tc>
          <w:tcPr>
            <w:tcW w:type="dxa" w:w="2556"/>
            <w:shd w:fill="07133A"/>
          </w:tcPr>
          <w:p>
            <w:r/>
            <w:r>
              <w:rPr>
                <w:b/>
                <w:color w:val="FFFFFF"/>
                <w:sz w:val="16"/>
              </w:rPr>
              <w:t>Path</w:t>
            </w:r>
          </w:p>
        </w:tc>
        <w:tc>
          <w:tcPr>
            <w:tcW w:type="dxa" w:w="2556"/>
            <w:shd w:fill="07133A"/>
          </w:tcPr>
          <w:p>
            <w:r/>
            <w:r>
              <w:rPr>
                <w:b/>
                <w:color w:val="FFFFFF"/>
                <w:sz w:val="16"/>
              </w:rPr>
              <w:t>Investment</w:t>
            </w:r>
          </w:p>
        </w:tc>
        <w:tc>
          <w:tcPr>
            <w:tcW w:type="dxa" w:w="2556"/>
            <w:shd w:fill="07133A"/>
          </w:tcPr>
          <w:p>
            <w:r/>
            <w:r>
              <w:rPr>
                <w:b/>
                <w:color w:val="FFFFFF"/>
                <w:sz w:val="16"/>
              </w:rPr>
              <w:t>Best fit</w:t>
            </w:r>
          </w:p>
        </w:tc>
        <w:tc>
          <w:tcPr>
            <w:tcW w:type="dxa" w:w="2556"/>
            <w:shd w:fill="07133A"/>
          </w:tcPr>
          <w:p>
            <w:r/>
            <w:r>
              <w:rPr>
                <w:b/>
                <w:color w:val="FFFFFF"/>
                <w:sz w:val="16"/>
              </w:rPr>
              <w:t>What it does</w:t>
            </w:r>
          </w:p>
        </w:tc>
      </w:tr>
      <w:tr>
        <w:tc>
          <w:tcPr>
            <w:tcW w:type="dxa" w:w="2556"/>
            <w:shd w:fill="FFFFFF"/>
          </w:tcPr>
          <w:p>
            <w:r/>
            <w:r>
              <w:rPr>
                <w:b/>
                <w:color w:val="07133A"/>
                <w:sz w:val="16"/>
              </w:rPr>
              <w:t>Production Ready Assessment</w:t>
            </w:r>
          </w:p>
        </w:tc>
        <w:tc>
          <w:tcPr>
            <w:tcW w:type="dxa" w:w="2556"/>
            <w:shd w:fill="F3ECFF"/>
          </w:tcPr>
          <w:p>
            <w:r/>
            <w:r>
              <w:rPr>
                <w:b/>
                <w:color w:val="07133A"/>
                <w:sz w:val="16"/>
              </w:rPr>
              <w:t>$20k</w:t>
            </w:r>
          </w:p>
        </w:tc>
        <w:tc>
          <w:tcPr>
            <w:tcW w:type="dxa" w:w="2556"/>
            <w:shd w:fill="FFFFFF"/>
          </w:tcPr>
          <w:p>
            <w:r/>
            <w:r>
              <w:rPr>
                <w:b w:val="0"/>
                <w:color w:val="121826"/>
                <w:sz w:val="16"/>
              </w:rPr>
              <w:t>Companies that want to validate the problem, scope, and path before committing to a larger engagement.</w:t>
            </w:r>
          </w:p>
        </w:tc>
        <w:tc>
          <w:tcPr>
            <w:tcW w:type="dxa" w:w="2556"/>
            <w:shd w:fill="FFFFFF"/>
          </w:tcPr>
          <w:p>
            <w:r/>
            <w:r>
              <w:rPr>
                <w:b w:val="0"/>
                <w:color w:val="121826"/>
                <w:sz w:val="16"/>
              </w:rPr>
              <w:t>A diagnostic that reviews the current story, demo, buyer value, partner readiness, executive narrative, and field repeatability. The fee is credited toward Foundation or Transformation if signed within 30 days of assessment delivery.</w:t>
            </w:r>
          </w:p>
        </w:tc>
      </w:tr>
      <w:tr>
        <w:tc>
          <w:tcPr>
            <w:tcW w:type="dxa" w:w="2556"/>
            <w:shd w:fill="FFFFFF"/>
          </w:tcPr>
          <w:p>
            <w:r/>
            <w:r>
              <w:rPr>
                <w:b/>
                <w:color w:val="07133A"/>
                <w:sz w:val="16"/>
              </w:rPr>
              <w:t>Production Ready Foundation</w:t>
            </w:r>
          </w:p>
        </w:tc>
        <w:tc>
          <w:tcPr>
            <w:tcW w:type="dxa" w:w="2556"/>
            <w:shd w:fill="F3ECFF"/>
          </w:tcPr>
          <w:p>
            <w:r/>
            <w:r>
              <w:rPr>
                <w:b/>
                <w:color w:val="07133A"/>
                <w:sz w:val="16"/>
              </w:rPr>
              <w:t>$195k</w:t>
            </w:r>
          </w:p>
        </w:tc>
        <w:tc>
          <w:tcPr>
            <w:tcW w:type="dxa" w:w="2556"/>
            <w:shd w:fill="FFFFFF"/>
          </w:tcPr>
          <w:p>
            <w:r/>
            <w:r>
              <w:rPr>
                <w:b w:val="0"/>
                <w:color w:val="121826"/>
                <w:sz w:val="16"/>
              </w:rPr>
              <w:t>Companies that need the technical GTM system built and can handle internal execution, enablement rollout, production work, and adoption.</w:t>
            </w:r>
          </w:p>
        </w:tc>
        <w:tc>
          <w:tcPr>
            <w:tcW w:type="dxa" w:w="2556"/>
            <w:shd w:fill="FFFFFF"/>
          </w:tcPr>
          <w:p>
            <w:r/>
            <w:r>
              <w:rPr>
                <w:b w:val="0"/>
                <w:color w:val="121826"/>
                <w:sz w:val="16"/>
              </w:rPr>
              <w:t>Builds the strategy, messaging architecture, demo structure, partner direction, event readiness, and Production Ready roadmap.</w:t>
            </w:r>
          </w:p>
        </w:tc>
      </w:tr>
      <w:tr>
        <w:tc>
          <w:tcPr>
            <w:tcW w:type="dxa" w:w="2556"/>
            <w:shd w:fill="FFFFFF"/>
          </w:tcPr>
          <w:p>
            <w:r/>
            <w:r>
              <w:rPr>
                <w:b/>
                <w:color w:val="07133A"/>
                <w:sz w:val="16"/>
              </w:rPr>
              <w:t>Production Ready Transformation</w:t>
            </w:r>
          </w:p>
        </w:tc>
        <w:tc>
          <w:tcPr>
            <w:tcW w:type="dxa" w:w="2556"/>
            <w:shd w:fill="F3ECFF"/>
          </w:tcPr>
          <w:p>
            <w:r/>
            <w:r>
              <w:rPr>
                <w:b/>
                <w:color w:val="07133A"/>
                <w:sz w:val="16"/>
              </w:rPr>
              <w:t>$350k</w:t>
            </w:r>
          </w:p>
        </w:tc>
        <w:tc>
          <w:tcPr>
            <w:tcW w:type="dxa" w:w="2556"/>
            <w:shd w:fill="FFFFFF"/>
          </w:tcPr>
          <w:p>
            <w:r/>
            <w:r>
              <w:rPr>
                <w:b w:val="0"/>
                <w:color w:val="121826"/>
                <w:sz w:val="16"/>
              </w:rPr>
              <w:t>Companies that need the system built, taught, tested, and carried into live market execution.</w:t>
            </w:r>
          </w:p>
        </w:tc>
        <w:tc>
          <w:tcPr>
            <w:tcW w:type="dxa" w:w="2556"/>
            <w:shd w:fill="FFFFFF"/>
          </w:tcPr>
          <w:p>
            <w:r/>
            <w:r>
              <w:rPr>
                <w:b w:val="0"/>
                <w:color w:val="121826"/>
                <w:sz w:val="16"/>
              </w:rPr>
              <w:t>Includes Foundation and adds live training, field application, feedback capture, narrative refinement, and internal owner handoff.</w:t>
            </w:r>
          </w:p>
        </w:tc>
      </w:tr>
    </w:tbl>
    <w:p>
      <w:pPr>
        <w:spacing w:line="252" w:lineRule="auto"/>
      </w:pPr>
    </w:p>
    <w:p>
      <w:pPr>
        <w:pStyle w:val="Heading2"/>
        <w:spacing w:line="252" w:lineRule="auto"/>
      </w:pPr>
      <w:r>
        <w:t>Assessment detail</w:t>
      </w:r>
    </w:p>
    <w:p>
      <w:pPr>
        <w:pStyle w:val="Heading3"/>
        <w:spacing w:line="252" w:lineRule="auto"/>
      </w:pPr>
      <w:r>
        <w:t>Start with the Assessment when the problem is real, but the path is not obvious.</w:t>
      </w:r>
    </w:p>
    <w:p>
      <w:pPr>
        <w:spacing w:after="140" w:line="252" w:lineRule="auto"/>
      </w:pPr>
      <w:r>
        <w:t>The Production Ready Assessment is designed to answer a practical question: Is this a technical GTM problem worth prioritizing right now?</w:t>
      </w:r>
      <w:r>
        <w:br/>
      </w:r>
      <w:r/>
      <w:r>
        <w:br/>
      </w:r>
      <w:r>
        <w:t>The Assessment looks at the current state of the story, demo, buyer value, partner readiness, executive narrative, and field repeatability. It helps identify:</w:t>
      </w:r>
    </w:p>
    <w:p>
      <w:pPr>
        <w:pStyle w:val="ListBullet"/>
        <w:spacing w:after="60" w:line="252" w:lineRule="auto"/>
      </w:pPr>
      <w:r>
        <w:rPr>
          <w:color w:val="121826"/>
          <w:sz w:val="20"/>
        </w:rPr>
        <w:t>Where the story is clear</w:t>
      </w:r>
    </w:p>
    <w:p>
      <w:pPr>
        <w:pStyle w:val="ListBullet"/>
        <w:spacing w:after="60" w:line="252" w:lineRule="auto"/>
      </w:pPr>
      <w:r>
        <w:rPr>
          <w:color w:val="121826"/>
          <w:sz w:val="20"/>
        </w:rPr>
        <w:t>Where the buyer is being asked to do too much translation</w:t>
      </w:r>
    </w:p>
    <w:p>
      <w:pPr>
        <w:pStyle w:val="ListBullet"/>
        <w:spacing w:after="60" w:line="252" w:lineRule="auto"/>
      </w:pPr>
      <w:r>
        <w:rPr>
          <w:color w:val="121826"/>
          <w:sz w:val="20"/>
        </w:rPr>
        <w:t>Which audiences are not being served well</w:t>
      </w:r>
    </w:p>
    <w:p>
      <w:pPr>
        <w:pStyle w:val="ListBullet"/>
        <w:spacing w:after="60" w:line="252" w:lineRule="auto"/>
      </w:pPr>
      <w:r>
        <w:rPr>
          <w:color w:val="121826"/>
          <w:sz w:val="20"/>
        </w:rPr>
        <w:t>Whether the demo supports business urgency or just product validity</w:t>
      </w:r>
    </w:p>
    <w:p>
      <w:pPr>
        <w:pStyle w:val="ListBullet"/>
        <w:spacing w:after="60" w:line="252" w:lineRule="auto"/>
      </w:pPr>
      <w:r>
        <w:rPr>
          <w:color w:val="121826"/>
          <w:sz w:val="20"/>
        </w:rPr>
        <w:t>Whether the partner story is repeatable</w:t>
      </w:r>
    </w:p>
    <w:p>
      <w:pPr>
        <w:pStyle w:val="ListBullet"/>
        <w:spacing w:after="60" w:line="252" w:lineRule="auto"/>
      </w:pPr>
      <w:r>
        <w:rPr>
          <w:color w:val="121826"/>
          <w:sz w:val="20"/>
        </w:rPr>
        <w:t>Whether the company needs Foundation, Transformation, advisory work, or a different next step</w:t>
      </w:r>
    </w:p>
    <w:p>
      <w:pPr>
        <w:pStyle w:val="Heading3"/>
        <w:spacing w:line="252" w:lineRule="auto"/>
      </w:pPr>
      <w:r>
        <w:t>Assessment includes</w:t>
      </w:r>
    </w:p>
    <w:p>
      <w:pPr>
        <w:pStyle w:val="ListBullet"/>
        <w:spacing w:after="60" w:line="252" w:lineRule="auto"/>
      </w:pPr>
      <w:r>
        <w:rPr>
          <w:color w:val="121826"/>
          <w:sz w:val="20"/>
        </w:rPr>
        <w:t>Current-state review of product narrative, sales story, partner story, demo/event readiness, and executive buyer clarity</w:t>
      </w:r>
    </w:p>
    <w:p>
      <w:pPr>
        <w:pStyle w:val="ListBullet"/>
        <w:spacing w:after="60" w:line="252" w:lineRule="auto"/>
      </w:pPr>
      <w:r>
        <w:rPr>
          <w:color w:val="121826"/>
          <w:sz w:val="20"/>
        </w:rPr>
        <w:t>Stakeholder interviews with selected leadership, sales, product, marketing, partner, or field participants</w:t>
      </w:r>
    </w:p>
    <w:p>
      <w:pPr>
        <w:pStyle w:val="ListBullet"/>
        <w:spacing w:after="60" w:line="252" w:lineRule="auto"/>
      </w:pPr>
      <w:r>
        <w:rPr>
          <w:color w:val="121826"/>
          <w:sz w:val="20"/>
        </w:rPr>
        <w:t>Technical GTM gap map</w:t>
      </w:r>
    </w:p>
    <w:p>
      <w:pPr>
        <w:pStyle w:val="ListBullet"/>
        <w:spacing w:after="60" w:line="252" w:lineRule="auto"/>
      </w:pPr>
      <w:r>
        <w:rPr>
          <w:color w:val="121826"/>
          <w:sz w:val="20"/>
        </w:rPr>
        <w:t>Production readiness scorecard</w:t>
      </w:r>
    </w:p>
    <w:p>
      <w:pPr>
        <w:pStyle w:val="ListBullet"/>
        <w:spacing w:after="60" w:line="252" w:lineRule="auto"/>
      </w:pPr>
      <w:r>
        <w:rPr>
          <w:color w:val="121826"/>
          <w:sz w:val="20"/>
        </w:rPr>
        <w:t>Recommended roadmap and engagement path</w:t>
      </w:r>
    </w:p>
    <w:p>
      <w:pPr>
        <w:pStyle w:val="Heading3"/>
        <w:spacing w:line="252" w:lineRule="auto"/>
      </w:pPr>
      <w:r>
        <w:t>Assessment is not</w:t>
      </w:r>
    </w:p>
    <w:p>
      <w:pPr>
        <w:pStyle w:val="ListBullet"/>
        <w:spacing w:after="60" w:line="252" w:lineRule="auto"/>
      </w:pPr>
      <w:r>
        <w:rPr>
          <w:color w:val="121826"/>
          <w:sz w:val="20"/>
        </w:rPr>
        <w:t>A full messaging rewrite</w:t>
      </w:r>
    </w:p>
    <w:p>
      <w:pPr>
        <w:pStyle w:val="ListBullet"/>
        <w:spacing w:after="60" w:line="252" w:lineRule="auto"/>
      </w:pPr>
      <w:r>
        <w:rPr>
          <w:color w:val="121826"/>
          <w:sz w:val="20"/>
        </w:rPr>
        <w:t>A full partner program build</w:t>
      </w:r>
    </w:p>
    <w:p>
      <w:pPr>
        <w:pStyle w:val="ListBullet"/>
        <w:spacing w:after="60" w:line="252" w:lineRule="auto"/>
      </w:pPr>
      <w:r>
        <w:rPr>
          <w:color w:val="121826"/>
          <w:sz w:val="20"/>
        </w:rPr>
        <w:t>A content production engagement</w:t>
      </w:r>
    </w:p>
    <w:p>
      <w:pPr>
        <w:pStyle w:val="ListBullet"/>
        <w:spacing w:after="60" w:line="252" w:lineRule="auto"/>
      </w:pPr>
      <w:r>
        <w:rPr>
          <w:color w:val="121826"/>
          <w:sz w:val="20"/>
        </w:rPr>
        <w:t>A substitute for Foundation or Transformation</w:t>
      </w:r>
    </w:p>
    <w:p>
      <w:pPr>
        <w:pStyle w:val="Heading2"/>
        <w:spacing w:line="252" w:lineRule="auto"/>
      </w:pPr>
      <w:r>
        <w:t>What Production Ready is not</w:t>
      </w:r>
    </w:p>
    <w:p>
      <w:pPr>
        <w:pStyle w:val="Heading3"/>
        <w:spacing w:line="252" w:lineRule="auto"/>
      </w:pPr>
      <w:r>
        <w:t>Production Ready is not a content factory.</w:t>
      </w:r>
    </w:p>
    <w:p>
      <w:pPr>
        <w:spacing w:after="140" w:line="252" w:lineRule="auto"/>
      </w:pPr>
      <w:r>
        <w:t>Production Ready provides the strategy, structure, story, standards, training, and field review needed to make technical GTM more repeatable.</w:t>
      </w:r>
      <w:r>
        <w:br/>
      </w:r>
      <w:r/>
      <w:r>
        <w:br/>
      </w:r>
      <w:r>
        <w:t>It is not meant to replace your internal team, agency, or production resources.</w:t>
      </w:r>
      <w:r>
        <w:br/>
      </w:r>
      <w:r/>
      <w:r>
        <w:br/>
      </w:r>
      <w:r>
        <w:t>Production Ready does not include:</w:t>
      </w:r>
    </w:p>
    <w:p>
      <w:pPr>
        <w:pStyle w:val="ListBullet"/>
        <w:spacing w:after="60" w:line="252" w:lineRule="auto"/>
      </w:pPr>
      <w:r>
        <w:rPr>
          <w:color w:val="121826"/>
          <w:sz w:val="20"/>
        </w:rPr>
        <w:t>Unlimited deck writing</w:t>
      </w:r>
    </w:p>
    <w:p>
      <w:pPr>
        <w:pStyle w:val="ListBullet"/>
        <w:spacing w:after="60" w:line="252" w:lineRule="auto"/>
      </w:pPr>
      <w:r>
        <w:rPr>
          <w:color w:val="121826"/>
          <w:sz w:val="20"/>
        </w:rPr>
        <w:t>Blog writing</w:t>
      </w:r>
    </w:p>
    <w:p>
      <w:pPr>
        <w:pStyle w:val="ListBullet"/>
        <w:spacing w:after="60" w:line="252" w:lineRule="auto"/>
      </w:pPr>
      <w:r>
        <w:rPr>
          <w:color w:val="121826"/>
          <w:sz w:val="20"/>
        </w:rPr>
        <w:t>Social campaigns</w:t>
      </w:r>
    </w:p>
    <w:p>
      <w:pPr>
        <w:pStyle w:val="ListBullet"/>
        <w:spacing w:after="60" w:line="252" w:lineRule="auto"/>
      </w:pPr>
      <w:r>
        <w:rPr>
          <w:color w:val="121826"/>
          <w:sz w:val="20"/>
        </w:rPr>
        <w:t>Graphic design</w:t>
      </w:r>
    </w:p>
    <w:p>
      <w:pPr>
        <w:pStyle w:val="ListBullet"/>
        <w:spacing w:after="60" w:line="252" w:lineRule="auto"/>
      </w:pPr>
      <w:r>
        <w:rPr>
          <w:color w:val="121826"/>
          <w:sz w:val="20"/>
        </w:rPr>
        <w:t>Video editing</w:t>
      </w:r>
    </w:p>
    <w:p>
      <w:pPr>
        <w:pStyle w:val="ListBullet"/>
        <w:spacing w:after="60" w:line="252" w:lineRule="auto"/>
      </w:pPr>
      <w:r>
        <w:rPr>
          <w:color w:val="121826"/>
          <w:sz w:val="20"/>
        </w:rPr>
        <w:t>Full LMS or course production</w:t>
      </w:r>
    </w:p>
    <w:p>
      <w:pPr>
        <w:pStyle w:val="ListBullet"/>
        <w:spacing w:after="60" w:line="252" w:lineRule="auto"/>
      </w:pPr>
      <w:r>
        <w:rPr>
          <w:color w:val="121826"/>
          <w:sz w:val="20"/>
        </w:rPr>
        <w:t>Partner portal administration</w:t>
      </w:r>
    </w:p>
    <w:p>
      <w:pPr>
        <w:pStyle w:val="ListBullet"/>
        <w:spacing w:after="60" w:line="252" w:lineRule="auto"/>
      </w:pPr>
      <w:r>
        <w:rPr>
          <w:color w:val="121826"/>
          <w:sz w:val="20"/>
        </w:rPr>
        <w:t>Sales quota ownership</w:t>
      </w:r>
    </w:p>
    <w:p>
      <w:pPr>
        <w:pStyle w:val="ListBullet"/>
        <w:spacing w:after="60" w:line="252" w:lineRule="auto"/>
      </w:pPr>
      <w:r>
        <w:rPr>
          <w:color w:val="121826"/>
          <w:sz w:val="20"/>
        </w:rPr>
        <w:t>SDR work</w:t>
      </w:r>
    </w:p>
    <w:p>
      <w:pPr>
        <w:pStyle w:val="ListBullet"/>
        <w:spacing w:after="60" w:line="252" w:lineRule="auto"/>
      </w:pPr>
      <w:r>
        <w:rPr>
          <w:color w:val="121826"/>
          <w:sz w:val="20"/>
        </w:rPr>
        <w:t>Media buying</w:t>
      </w:r>
    </w:p>
    <w:p>
      <w:pPr>
        <w:pStyle w:val="ListBullet"/>
        <w:spacing w:after="60" w:line="252" w:lineRule="auto"/>
      </w:pPr>
      <w:r>
        <w:rPr>
          <w:color w:val="121826"/>
          <w:sz w:val="20"/>
        </w:rPr>
        <w:t>Event logistics</w:t>
      </w:r>
    </w:p>
    <w:p>
      <w:pPr>
        <w:spacing w:after="140" w:line="252" w:lineRule="auto"/>
      </w:pPr>
      <w:r>
        <w:t>That is intentional.</w:t>
      </w:r>
      <w:r>
        <w:br/>
      </w:r>
      <w:r/>
      <w:r>
        <w:br/>
      </w:r>
      <w:r>
        <w:t>The goal is to build the system your team can use, not create another dependency.</w:t>
      </w:r>
    </w:p>
    <w:p>
      <w:pPr>
        <w:pStyle w:val="Heading2"/>
        <w:spacing w:line="252" w:lineRule="auto"/>
      </w:pPr>
      <w:r>
        <w:t>Expected outcomes</w:t>
      </w:r>
    </w:p>
    <w:p>
      <w:pPr>
        <w:pStyle w:val="Heading3"/>
        <w:spacing w:line="252" w:lineRule="auto"/>
      </w:pPr>
      <w:r>
        <w:t>What should be different after Production Ready?</w:t>
      </w:r>
    </w:p>
    <w:p>
      <w:pPr>
        <w:spacing w:after="140" w:line="252" w:lineRule="auto"/>
      </w:pPr>
      <w:r>
        <w:t>After Production Ready, the company should be able to explain its product more clearly, train others more consistently, and carry the story into real market conversations with less dependence on the founder. The goal is for the team to be able to say:</w:t>
      </w:r>
    </w:p>
    <w:p>
      <w:pPr>
        <w:pStyle w:val="Heading3"/>
        <w:spacing w:line="252" w:lineRule="auto"/>
      </w:pPr>
      <w:r>
        <w:t>Market clarity</w:t>
      </w:r>
    </w:p>
    <w:p>
      <w:pPr>
        <w:spacing w:after="140" w:line="252" w:lineRule="auto"/>
      </w:pPr>
      <w:r>
        <w:t>We can explain what we do, why it matters, who cares, and why buyers should act now.</w:t>
      </w:r>
    </w:p>
    <w:p>
      <w:pPr>
        <w:pStyle w:val="Heading3"/>
        <w:spacing w:line="252" w:lineRule="auto"/>
      </w:pPr>
      <w:r>
        <w:t>Field confidence</w:t>
      </w:r>
    </w:p>
    <w:p>
      <w:pPr>
        <w:spacing w:after="140" w:line="252" w:lineRule="auto"/>
      </w:pPr>
      <w:r>
        <w:t>Sales, SE, PMM, partner, and executive teams are working from the same story.</w:t>
      </w:r>
    </w:p>
    <w:p>
      <w:pPr>
        <w:pStyle w:val="Heading3"/>
        <w:spacing w:line="252" w:lineRule="auto"/>
      </w:pPr>
      <w:r>
        <w:t>Partner repeatability</w:t>
      </w:r>
    </w:p>
    <w:p>
      <w:pPr>
        <w:spacing w:after="140" w:line="252" w:lineRule="auto"/>
      </w:pPr>
      <w:r>
        <w:t>Partners have a clearer narrative, enablement structure, and readiness path they can use to create momentum.</w:t>
      </w:r>
    </w:p>
    <w:p>
      <w:pPr>
        <w:pStyle w:val="Heading3"/>
        <w:spacing w:line="252" w:lineRule="auto"/>
      </w:pPr>
      <w:r>
        <w:t>Executive buyer trust</w:t>
      </w:r>
    </w:p>
    <w:p>
      <w:pPr>
        <w:spacing w:after="140" w:line="252" w:lineRule="auto"/>
      </w:pPr>
      <w:r>
        <w:t>Technical depth is translated into business outcomes, urgency, risk, cost, agility, security, efficiency, and enterprise relevance.</w:t>
      </w:r>
    </w:p>
    <w:p>
      <w:pPr>
        <w:pStyle w:val="Heading3"/>
        <w:spacing w:line="252" w:lineRule="auto"/>
      </w:pPr>
      <w:r>
        <w:t>Team ownership</w:t>
      </w:r>
    </w:p>
    <w:p>
      <w:pPr>
        <w:spacing w:after="140" w:line="252" w:lineRule="auto"/>
      </w:pPr>
      <w:r>
        <w:t>The company has a system it can keep using, improving, and teaching without needing Bob in every meeting forever.</w:t>
      </w:r>
    </w:p>
    <w:p>
      <w:pPr>
        <w:pStyle w:val="Heading2"/>
        <w:spacing w:line="252" w:lineRule="auto"/>
      </w:pPr>
      <w:r>
        <w:t>FAQ section</w:t>
      </w:r>
    </w:p>
    <w:p>
      <w:pPr>
        <w:spacing w:after="40" w:line="252" w:lineRule="auto"/>
      </w:pPr>
      <w:r>
        <w:rPr>
          <w:b/>
          <w:color w:val="07133A"/>
          <w:sz w:val="20"/>
        </w:rPr>
        <w:t>What does Production Ready mean for go to market?</w:t>
      </w:r>
    </w:p>
    <w:p>
      <w:pPr>
        <w:spacing w:after="140" w:line="252" w:lineRule="auto"/>
      </w:pPr>
      <w:r>
        <w:t>In software, production ready means something has been tested, hardened, and prepared for real-world use. In go to market, Production Ready means your story, demo flow, partner message, executive narrative, and field guidance are ready to survive real buyers, real partners, real sales calls, and real events. The idea is simple: your GTM should be as ready to scale as your product.</w:t>
      </w:r>
    </w:p>
    <w:p>
      <w:pPr>
        <w:spacing w:after="40" w:line="252" w:lineRule="auto"/>
      </w:pPr>
      <w:r>
        <w:rPr>
          <w:b/>
          <w:color w:val="07133A"/>
          <w:sz w:val="20"/>
        </w:rPr>
        <w:t>What is included in the Production Ready Assessment?</w:t>
      </w:r>
    </w:p>
    <w:p>
      <w:pPr>
        <w:spacing w:after="140" w:line="252" w:lineRule="auto"/>
      </w:pPr>
      <w:r>
        <w:t>The Production Ready Assessment is a $20k diagnostic that reviews your current product narrative, sales story, partner story, demo and event readiness, and executive buyer clarity. It includes stakeholder conversations, a technical GTM gap map, a production readiness scorecard, and a recommended path. The Assessment fee is credited toward Foundation or Transformation if a full engagement is signed within 30 days of assessment delivery.</w:t>
      </w:r>
    </w:p>
    <w:p>
      <w:pPr>
        <w:spacing w:after="40" w:line="252" w:lineRule="auto"/>
      </w:pPr>
      <w:r>
        <w:rPr>
          <w:b/>
          <w:color w:val="07133A"/>
          <w:sz w:val="20"/>
        </w:rPr>
        <w:t>How should we think about the cost of Production Ready?</w:t>
      </w:r>
    </w:p>
    <w:p>
      <w:pPr>
        <w:spacing w:after="140" w:line="252" w:lineRule="auto"/>
      </w:pPr>
      <w:r>
        <w:t>Production Ready should be evaluated against the cost of unclear GTM. If a technical company is losing enterprise opportunities, confusing buyers, underusing partners, running weak demos, or pulling the founder into too many strategic sales conversations, that cost can add up quickly. The right question is not just “What does this cost?” It is “What is unclear messaging, inconsistent field execution, and slow buyer understanding already costing us?”</w:t>
      </w:r>
    </w:p>
    <w:p>
      <w:pPr>
        <w:spacing w:after="40" w:line="252" w:lineRule="auto"/>
      </w:pPr>
      <w:r>
        <w:rPr>
          <w:b/>
          <w:color w:val="07133A"/>
          <w:sz w:val="20"/>
        </w:rPr>
        <w:t>How do I know if my company needs Foundation or Transformation?</w:t>
      </w:r>
    </w:p>
    <w:p>
      <w:pPr>
        <w:spacing w:after="140" w:line="252" w:lineRule="auto"/>
      </w:pPr>
      <w:r>
        <w:t>Foundation is usually the right fit if you need the system built and have internal teams that can handle rollout, production, and adoption. Transformation is usually the better fit if you need the system built, taught, tested, refined, and transferred through live training or field application. The Assessment is designed to help make that decision clearer.</w:t>
      </w:r>
    </w:p>
    <w:p>
      <w:pPr>
        <w:spacing w:after="40" w:line="252" w:lineRule="auto"/>
      </w:pPr>
      <w:r>
        <w:rPr>
          <w:b/>
          <w:color w:val="07133A"/>
          <w:sz w:val="20"/>
        </w:rPr>
        <w:t>What is a product messaging framework?</w:t>
      </w:r>
    </w:p>
    <w:p>
      <w:pPr>
        <w:spacing w:after="140" w:line="252" w:lineRule="auto"/>
      </w:pPr>
      <w:r>
        <w:t>A product messaging framework is a structured way to connect what a product does to what buyers care about. For technical companies, that usually means translating features into pains, proof points, business outcomes, objections, and role-specific value. A good framework helps sales, marketing, product, partners, and executives tell a more consistent story.</w:t>
      </w:r>
    </w:p>
    <w:p>
      <w:pPr>
        <w:spacing w:after="40" w:line="252" w:lineRule="auto"/>
      </w:pPr>
      <w:r>
        <w:rPr>
          <w:b/>
          <w:color w:val="07133A"/>
          <w:sz w:val="20"/>
        </w:rPr>
        <w:t>How do technical companies turn product features into business value?</w:t>
      </w:r>
    </w:p>
    <w:p>
      <w:pPr>
        <w:spacing w:after="140" w:line="252" w:lineRule="auto"/>
      </w:pPr>
      <w:r>
        <w:t>Technical companies turn product features into business value by asking who cares, what pain the feature relieves, what risk or cost it reduces, what workflow it improves, and what outcome changes because the feature exists. The feature is still important, but the buyer usually acts on the business impact, not the engineering achievement alone.</w:t>
      </w:r>
    </w:p>
    <w:p>
      <w:pPr>
        <w:spacing w:after="40" w:line="252" w:lineRule="auto"/>
      </w:pPr>
      <w:r>
        <w:rPr>
          <w:b/>
          <w:color w:val="07133A"/>
          <w:sz w:val="20"/>
        </w:rPr>
        <w:t>Is Production Ready only for companies with partners or channel sales?</w:t>
      </w:r>
    </w:p>
    <w:p>
      <w:pPr>
        <w:spacing w:after="140" w:line="252" w:lineRule="auto"/>
      </w:pPr>
      <w:r>
        <w:t>No. Production Ready can help companies with direct sales, founder led sales, product-led motions, partners, field events, or executive selling. Partner enablement is one important part of the framework, but the larger goal is to make the technical story easier for the right people to understand, trust, and repeat.</w:t>
      </w:r>
    </w:p>
    <w:p>
      <w:pPr>
        <w:spacing w:after="40" w:line="252" w:lineRule="auto"/>
      </w:pPr>
      <w:r>
        <w:rPr>
          <w:b/>
          <w:color w:val="07133A"/>
          <w:sz w:val="20"/>
        </w:rPr>
        <w:t>Is Production Ready right for very early startups?</w:t>
      </w:r>
    </w:p>
    <w:p>
      <w:pPr>
        <w:spacing w:after="140" w:line="252" w:lineRule="auto"/>
      </w:pPr>
      <w:r>
        <w:t>It depends on how early. Production Ready is usually best for companies that already have evidence the product works and some commercial validation. If the product is still not ready for customers, or the market is too small to justify the investment, a lighter advisory path may make more sense.</w:t>
      </w:r>
    </w:p>
    <w:p>
      <w:pPr>
        <w:pStyle w:val="Heading2"/>
        <w:spacing w:line="252" w:lineRule="auto"/>
      </w:pPr>
      <w:r>
        <w:t>Final CTA section</w:t>
      </w:r>
    </w:p>
    <w:p>
      <w:pPr>
        <w:pStyle w:val="Heading3"/>
        <w:spacing w:line="252" w:lineRule="auto"/>
      </w:pPr>
      <w:r>
        <w:t>Ready to make the story as strong as the product?</w:t>
      </w:r>
    </w:p>
    <w:p>
      <w:pPr>
        <w:spacing w:after="140" w:line="252" w:lineRule="auto"/>
      </w:pPr>
      <w:r>
        <w:t>If your product is working but the market still needs too much help understanding why it matters, Production Ready may be the right next step.</w:t>
      </w:r>
      <w:r>
        <w:br/>
      </w:r>
      <w:r/>
      <w:r>
        <w:br/>
      </w:r>
      <w:r>
        <w:t>Schedule a 30-minute fit call and we can talk through whether the Assessment, Foundation, Transformation, or a lighter advisory path makes the most sense.</w:t>
      </w:r>
    </w:p>
    <w:p>
      <w:pPr>
        <w:spacing w:after="140" w:line="252" w:lineRule="auto"/>
      </w:pPr>
      <w:r>
        <w:t>CTA buttons: Schedule a 30-Minute Fit Call | Email Bob Directly</w:t>
      </w:r>
      <w:r>
        <w:br/>
      </w:r>
      <w:r>
        <w:t>Prefer email? Reach me directly at bob@successfulbob.com.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B5563"/>
        <w:sz w:val="16"/>
      </w:rPr>
      <w:t>bob@successfulbob.com | successfulbob.com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4B5563"/>
        <w:sz w:val="16"/>
      </w:rPr>
      <w:t>Successfulbob LLC | Website Copy | Production Ready Page Copy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218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713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713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7C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Ready Page Copy v2</dc:title>
  <dc:subject>Website copy</dc:subject>
  <dc:creator>Successfulbob LLC</dc:creator>
  <cp:keywords/>
  <dc:description>Created for Successfulbob.com build handoff.</dc:description>
  <cp:lastModifiedBy/>
  <cp:revision>1</cp:revision>
  <dcterms:created xsi:type="dcterms:W3CDTF">2013-12-23T23:15:00Z</dcterms:created>
  <dcterms:modified xsi:type="dcterms:W3CDTF">2013-12-23T23:15:00Z</dcterms:modified>
  <cp:category/>
</cp:coreProperties>
</file>