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9763F0">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5D10D9" w:rsidRPr="00AD1626" w:rsidRDefault="005D10D9"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5D10D9" w:rsidRDefault="005D10D9">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posOffset>2899739</wp:posOffset>
                </wp:positionH>
                <wp:positionV relativeFrom="paragraph">
                  <wp:posOffset>273313</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5D10D9" w:rsidRPr="00E84368" w:rsidRDefault="005D10D9">
                          <w:pPr>
                            <w:rPr>
                              <w:sz w:val="24"/>
                              <w:szCs w:val="24"/>
                            </w:rPr>
                          </w:pPr>
                          <w:r w:rsidRPr="00E84368">
                            <w:rPr>
                              <w:sz w:val="24"/>
                              <w:szCs w:val="24"/>
                            </w:rPr>
                            <w:t xml:space="preserve">Carine Allaf &amp; Pierre </w:t>
                          </w:r>
                          <w:proofErr w:type="spellStart"/>
                          <w:r w:rsidRPr="00E84368">
                            <w:rPr>
                              <w:sz w:val="24"/>
                              <w:szCs w:val="24"/>
                            </w:rPr>
                            <w:t>Sadeler</w:t>
                          </w:r>
                          <w:proofErr w:type="spellEnd"/>
                          <w:r w:rsidRPr="00E84368">
                            <w:rPr>
                              <w:sz w:val="24"/>
                              <w:szCs w:val="24"/>
                            </w:rPr>
                            <w:t xml:space="preserve"> </w:t>
                          </w:r>
                        </w:p>
                        <w:p w:rsidR="005D10D9" w:rsidRPr="00E84368" w:rsidRDefault="005D10D9">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0D9" w:rsidRDefault="005D10D9">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5D10D9" w:rsidRDefault="005D10D9">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9763F0">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5D10D9">
                                      <w:rPr>
                                        <w:caps/>
                                        <w:color w:val="FFFFFF" w:themeColor="text1" w:themeTint="D9"/>
                                      </w:rPr>
                                      <w:t>[Nom de la société]</w:t>
                                    </w:r>
                                  </w:sdtContent>
                                </w:sdt>
                              </w:p>
                              <w:p w:rsidR="005D10D9" w:rsidRDefault="009763F0">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5D10D9">
                                      <w:rPr>
                                        <w:color w:val="FFFFFF" w:themeColor="text1" w:themeTint="D9"/>
                                      </w:rPr>
                                      <w:t>[Adresse de la société]</w:t>
                                    </w:r>
                                  </w:sdtContent>
                                </w:sdt>
                                <w:r w:rsidR="005D10D9">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5D10D9" w:rsidRDefault="005D10D9">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5D10D9" w:rsidRDefault="005D10D9">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Content>
                              <w:r>
                                <w:rPr>
                                  <w:caps/>
                                  <w:color w:val="FFFFFF" w:themeColor="text1" w:themeTint="D9"/>
                                </w:rPr>
                                <w:t>[Nom de la société]</w:t>
                              </w:r>
                            </w:sdtContent>
                          </w:sdt>
                        </w:p>
                        <w:p w:rsidR="005D10D9" w:rsidRDefault="005D10D9">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Content>
                              <w:r>
                                <w:rPr>
                                  <w:color w:val="FFFFFF" w:themeColor="text1" w:themeTint="D9"/>
                                </w:rPr>
                                <w:t>[Adresse de la société]</w:t>
                              </w:r>
                            </w:sdtContent>
                          </w:sdt>
                          <w:r>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sdtContent>
    </w:sdt>
    <w:p w:rsidR="00C40A2E" w:rsidRPr="00C40A2E" w:rsidRDefault="00ED4660" w:rsidP="005E70F3">
      <w:pPr>
        <w:pStyle w:val="Titre1"/>
        <w:numPr>
          <w:ilvl w:val="0"/>
          <w:numId w:val="0"/>
        </w:numPr>
      </w:pPr>
      <w:bookmarkStart w:id="0" w:name="_Toc151631152"/>
      <w:r>
        <w:lastRenderedPageBreak/>
        <w:t>Remerciements</w:t>
      </w:r>
      <w:bookmarkEnd w:id="0"/>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 xml:space="preserve">De plus, nous exprimons notre sincère gratitude envers Mme </w:t>
      </w:r>
      <w:proofErr w:type="spellStart"/>
      <w:r w:rsidRPr="00685E96">
        <w:t>Vareille</w:t>
      </w:r>
      <w:proofErr w:type="spellEnd"/>
      <w:r w:rsidRPr="00685E96">
        <w:t xml:space="preserv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1" w:name="_Toc151631153"/>
      <w:r>
        <w:lastRenderedPageBreak/>
        <w:t>Résumé</w:t>
      </w:r>
      <w:bookmarkEnd w:id="1"/>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2" w:name="_Toc151631154"/>
      <w:r>
        <w:t>Abstract</w:t>
      </w:r>
      <w:bookmarkEnd w:id="2"/>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3" w:name="_Toc151631155"/>
      <w:r>
        <w:lastRenderedPageBreak/>
        <w:t>Glossaire</w:t>
      </w:r>
      <w:bookmarkEnd w:id="3"/>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4" w:name="_Toc151631156"/>
      <w:r>
        <w:t>Liste des sigles</w:t>
      </w:r>
      <w:bookmarkEnd w:id="4"/>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5" w:name="_Toc151631157"/>
      <w:r>
        <w:lastRenderedPageBreak/>
        <w:t>Introduction</w:t>
      </w:r>
      <w:bookmarkEnd w:id="5"/>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9763F0">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9763F0">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9763F0">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9763F0">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9763F0">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9763F0">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9763F0">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6" w:name="_Toc151631158"/>
      <w:r w:rsidRPr="00E22141">
        <w:lastRenderedPageBreak/>
        <w:t>Tables des illustrations</w:t>
      </w:r>
      <w:bookmarkEnd w:id="6"/>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9763F0">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7" w:name="_Toc151631159"/>
      <w:r>
        <w:lastRenderedPageBreak/>
        <w:t xml:space="preserve">Objectifs </w:t>
      </w:r>
      <w:r w:rsidR="00BE1C35">
        <w:t>du projet</w:t>
      </w:r>
      <w:bookmarkEnd w:id="7"/>
    </w:p>
    <w:p w:rsidR="00ED4660" w:rsidRPr="00ED4660" w:rsidRDefault="00ED4660" w:rsidP="0054452F">
      <w:pPr>
        <w:pStyle w:val="Titre2"/>
      </w:pPr>
      <w:bookmarkStart w:id="8" w:name="_Toc151631160"/>
      <w:r>
        <w:t>Principaux objectifs</w:t>
      </w:r>
      <w:bookmarkEnd w:id="8"/>
    </w:p>
    <w:p w:rsidR="00F82361" w:rsidRPr="00F82361" w:rsidRDefault="00ED4660" w:rsidP="00F82361">
      <w:pPr>
        <w:pStyle w:val="Titre3"/>
      </w:pPr>
      <w:bookmarkStart w:id="9" w:name="_Toc151631161"/>
      <w:r>
        <w:t xml:space="preserve">Découverte </w:t>
      </w:r>
      <w:r w:rsidR="002E0FCE">
        <w:t>du projet</w:t>
      </w:r>
      <w:bookmarkEnd w:id="9"/>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0" w:name="_Toc151631187"/>
      <w:r>
        <w:t xml:space="preserve">Figure </w:t>
      </w:r>
      <w:fldSimple w:instr=" SEQ Figure \* ARABIC ">
        <w:r w:rsidR="00C60E76">
          <w:rPr>
            <w:noProof/>
          </w:rPr>
          <w:t>1</w:t>
        </w:r>
      </w:fldSimple>
      <w:r>
        <w:t xml:space="preserve"> : Schéma synoptique</w:t>
      </w:r>
      <w:bookmarkEnd w:id="10"/>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5D10D9" w:rsidRPr="009505DC" w:rsidRDefault="005D10D9" w:rsidP="008F1599">
                            <w:pPr>
                              <w:pStyle w:val="Lgende"/>
                              <w:jc w:val="center"/>
                              <w:rPr>
                                <w:noProof/>
                                <w:szCs w:val="20"/>
                              </w:rPr>
                            </w:pPr>
                            <w:bookmarkStart w:id="11" w:name="_Toc151631188"/>
                            <w:r>
                              <w:t xml:space="preserve">Figure </w:t>
                            </w:r>
                            <w:fldSimple w:instr=" SEQ Figure \* ARABIC ">
                              <w:r>
                                <w:rPr>
                                  <w:noProof/>
                                </w:rPr>
                                <w:t>2</w:t>
                              </w:r>
                            </w:fldSimple>
                            <w:r>
                              <w:t xml:space="preserve"> : Diagramme de Gantt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5D10D9" w:rsidRPr="009505DC" w:rsidRDefault="005D10D9" w:rsidP="008F1599">
                      <w:pPr>
                        <w:pStyle w:val="Lgende"/>
                        <w:jc w:val="center"/>
                        <w:rPr>
                          <w:noProof/>
                          <w:szCs w:val="20"/>
                        </w:rPr>
                      </w:pPr>
                      <w:bookmarkStart w:id="12" w:name="_Toc151631188"/>
                      <w:r>
                        <w:t xml:space="preserve">Figure </w:t>
                      </w:r>
                      <w:r>
                        <w:fldChar w:fldCharType="begin"/>
                      </w:r>
                      <w:r>
                        <w:instrText xml:space="preserve"> SEQ Figure \* ARABIC </w:instrText>
                      </w:r>
                      <w:r>
                        <w:fldChar w:fldCharType="separate"/>
                      </w:r>
                      <w:r>
                        <w:rPr>
                          <w:noProof/>
                        </w:rPr>
                        <w:t>2</w:t>
                      </w:r>
                      <w:r>
                        <w:rPr>
                          <w:noProof/>
                        </w:rPr>
                        <w:fldChar w:fldCharType="end"/>
                      </w:r>
                      <w:r>
                        <w:t xml:space="preserve"> : Diagramme de Gantt</w:t>
                      </w:r>
                      <w:bookmarkEnd w:id="12"/>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2" w:name="_Toc151631162"/>
      <w:r>
        <w:lastRenderedPageBreak/>
        <w:t>Utilisation du matériel de mesure</w:t>
      </w:r>
      <w:bookmarkEnd w:id="12"/>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3" w:name="_Toc151631189"/>
      <w:r>
        <w:t xml:space="preserve">Figure </w:t>
      </w:r>
      <w:fldSimple w:instr=" SEQ Figure \* ARABIC ">
        <w:r w:rsidR="00C60E76">
          <w:rPr>
            <w:noProof/>
          </w:rPr>
          <w:t>3</w:t>
        </w:r>
      </w:fldSimple>
      <w:r>
        <w:t xml:space="preserve"> : M</w:t>
      </w:r>
      <w:r w:rsidRPr="00EE48D4">
        <w:t>atérielles à disposition</w:t>
      </w:r>
      <w:bookmarkEnd w:id="13"/>
    </w:p>
    <w:p w:rsidR="00396E89" w:rsidRDefault="00396E89" w:rsidP="00396E89"/>
    <w:p w:rsidR="00614ED5" w:rsidRDefault="00614ED5" w:rsidP="00396E89"/>
    <w:p w:rsidR="00614ED5" w:rsidRDefault="00614ED5" w:rsidP="00396E89">
      <w:r>
        <w:t>.</w:t>
      </w:r>
    </w:p>
    <w:p w:rsidR="00614ED5" w:rsidRDefault="00614ED5" w:rsidP="00396E89"/>
    <w:p w:rsidR="00396E89" w:rsidRDefault="00396E89" w:rsidP="00396E89"/>
    <w:p w:rsidR="00396E89" w:rsidRDefault="00396E89" w:rsidP="00396E89"/>
    <w:p w:rsidR="0061350C" w:rsidRDefault="0061350C" w:rsidP="00396E89">
      <w:r w:rsidRPr="0061350C">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5D10D9" w:rsidRPr="00573700" w:rsidRDefault="005D10D9" w:rsidP="002774F5">
                            <w:pPr>
                              <w:pStyle w:val="Lgende"/>
                              <w:rPr>
                                <w:noProof/>
                              </w:rPr>
                            </w:pPr>
                            <w:bookmarkStart w:id="14" w:name="_Toc151631190"/>
                            <w:r>
                              <w:t xml:space="preserve">Figure </w:t>
                            </w:r>
                            <w:fldSimple w:instr=" SEQ Figure \* ARABIC ">
                              <w:r>
                                <w:rPr>
                                  <w:noProof/>
                                </w:rPr>
                                <w:t>4</w:t>
                              </w:r>
                            </w:fldSimple>
                            <w:r>
                              <w:t xml:space="preserve"> : Petite et grande bobine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5D10D9" w:rsidRPr="00573700" w:rsidRDefault="005D10D9" w:rsidP="002774F5">
                      <w:pPr>
                        <w:pStyle w:val="Lgende"/>
                        <w:rPr>
                          <w:noProof/>
                        </w:rPr>
                      </w:pPr>
                      <w:bookmarkStart w:id="16" w:name="_Toc151631190"/>
                      <w:r>
                        <w:t xml:space="preserve">Figure </w:t>
                      </w:r>
                      <w:r>
                        <w:fldChar w:fldCharType="begin"/>
                      </w:r>
                      <w:r>
                        <w:instrText xml:space="preserve"> SEQ Figure \* ARABIC </w:instrText>
                      </w:r>
                      <w:r>
                        <w:fldChar w:fldCharType="separate"/>
                      </w:r>
                      <w:r>
                        <w:rPr>
                          <w:noProof/>
                        </w:rPr>
                        <w:t>4</w:t>
                      </w:r>
                      <w:r>
                        <w:rPr>
                          <w:noProof/>
                        </w:rPr>
                        <w:fldChar w:fldCharType="end"/>
                      </w:r>
                      <w:r>
                        <w:t xml:space="preserve"> : Petite et grande bobine</w:t>
                      </w:r>
                      <w:bookmarkEnd w:id="16"/>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5D10D9" w:rsidRDefault="005D10D9" w:rsidP="00E9396A">
                            <w:pPr>
                              <w:pStyle w:val="Lgende"/>
                            </w:pPr>
                            <w:bookmarkStart w:id="15" w:name="_Toc151631191"/>
                            <w:r>
                              <w:t xml:space="preserve">Figure </w:t>
                            </w:r>
                            <w:fldSimple w:instr=" SEQ Figure \* ARABIC ">
                              <w:r>
                                <w:rPr>
                                  <w:noProof/>
                                </w:rPr>
                                <w:t>5</w:t>
                              </w:r>
                            </w:fldSimple>
                            <w:r>
                              <w:t xml:space="preserve"> : PSM et IAI</w:t>
                            </w:r>
                            <w:bookmarkEnd w:id="15"/>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5D10D9" w:rsidRDefault="005D10D9" w:rsidP="00E9396A">
                      <w:pPr>
                        <w:pStyle w:val="Lgende"/>
                      </w:pPr>
                      <w:bookmarkStart w:id="18" w:name="_Toc151631191"/>
                      <w:r>
                        <w:t xml:space="preserve">Figure </w:t>
                      </w:r>
                      <w:r>
                        <w:fldChar w:fldCharType="begin"/>
                      </w:r>
                      <w:r>
                        <w:instrText xml:space="preserve"> SEQ Figure \* ARABIC </w:instrText>
                      </w:r>
                      <w:r>
                        <w:fldChar w:fldCharType="separate"/>
                      </w:r>
                      <w:r>
                        <w:rPr>
                          <w:noProof/>
                        </w:rPr>
                        <w:t>5</w:t>
                      </w:r>
                      <w:r>
                        <w:rPr>
                          <w:noProof/>
                        </w:rPr>
                        <w:fldChar w:fldCharType="end"/>
                      </w:r>
                      <w:r>
                        <w:t xml:space="preserve"> : PSM et IAI</w:t>
                      </w:r>
                      <w:bookmarkEnd w:id="18"/>
                    </w:p>
                    <w:p w:rsidR="005D10D9" w:rsidRPr="0061350C" w:rsidRDefault="005D10D9">
                      <w:pPr>
                        <w:rPr>
                          <w:color w:val="7BA79D" w:themeColor="accent5"/>
                        </w:rPr>
                      </w:pPr>
                      <w:r w:rsidRPr="0061350C">
                        <w:rPr>
                          <w:color w:val="7BA79D" w:themeColor="accent5"/>
                        </w:rPr>
                        <w:t>PSM1735</w:t>
                      </w:r>
                    </w:p>
                    <w:p w:rsidR="005D10D9" w:rsidRPr="0061350C" w:rsidRDefault="005D10D9">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 xml:space="preserve">Au cours de ce projet, nous avons à notre disposition </w:t>
      </w:r>
      <w:proofErr w:type="gramStart"/>
      <w:r>
        <w:t>divers</w:t>
      </w:r>
      <w:proofErr w:type="gramEnd"/>
      <w:r>
        <w:t xml:space="preserve">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16" w:name="_Toc151631163"/>
      <w:r>
        <w:lastRenderedPageBreak/>
        <w:t>Explications des principes physiques</w:t>
      </w:r>
      <w:bookmarkEnd w:id="16"/>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17" w:name="_Toc151631164"/>
      <w:r>
        <w:t xml:space="preserve">Conductivité électrique </w:t>
      </w:r>
      <w:r w:rsidR="00402D92">
        <w:t>des matériaux</w:t>
      </w:r>
      <w:bookmarkEnd w:id="17"/>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18" w:name="_Toc151631192"/>
      <w:r>
        <w:t xml:space="preserve">Figure </w:t>
      </w:r>
      <w:fldSimple w:instr=" SEQ Figure \* ARABIC ">
        <w:r w:rsidR="00C60E76">
          <w:rPr>
            <w:noProof/>
          </w:rPr>
          <w:t>10</w:t>
        </w:r>
      </w:fldSimple>
      <w:r>
        <w:t xml:space="preserve"> : Tableau conductivité électrique des matériaux</w:t>
      </w:r>
      <w:bookmarkEnd w:id="18"/>
    </w:p>
    <w:p w:rsidR="0088583A" w:rsidRPr="0088583A" w:rsidRDefault="0088583A" w:rsidP="0088583A"/>
    <w:p w:rsidR="0088583A" w:rsidRDefault="0088583A" w:rsidP="0088583A">
      <w:r>
        <w:t xml:space="preserve">Lors de la mesure de la conductivité électrique, l'utilisation de métaux magnétiques peut poser des problèmes en raison de </w:t>
      </w:r>
      <w:r w:rsidR="005D10D9">
        <w:t>leurs propriétés physiques</w:t>
      </w:r>
      <w:r>
        <w:t xml:space="preserve">.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19" w:name="_Toc151631165"/>
      <w:r>
        <w:lastRenderedPageBreak/>
        <w:t>Courant de Foucault</w:t>
      </w:r>
      <w:bookmarkEnd w:id="19"/>
      <w:r>
        <w:t xml:space="preserve"> </w:t>
      </w:r>
    </w:p>
    <w:p w:rsidR="00F37E28" w:rsidRDefault="009763F0"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0" w:name="_Toc151631193"/>
      <w:r>
        <w:t xml:space="preserve">Figure </w:t>
      </w:r>
      <w:fldSimple w:instr=" SEQ Figure \* ARABIC ">
        <w:r w:rsidR="00C60E76">
          <w:rPr>
            <w:noProof/>
          </w:rPr>
          <w:t>11</w:t>
        </w:r>
      </w:fldSimple>
      <w:r>
        <w:t xml:space="preserve"> : Schéma courant de Foucault</w:t>
      </w:r>
      <w:bookmarkEnd w:id="20"/>
    </w:p>
    <w:p w:rsidR="002E0FCE" w:rsidRDefault="002E0FCE" w:rsidP="002E0FCE">
      <w:pPr>
        <w:pStyle w:val="Titre3"/>
      </w:pPr>
      <w:bookmarkStart w:id="21" w:name="_Toc151631166"/>
      <w:r>
        <w:t>Induction électromagnétique</w:t>
      </w:r>
      <w:bookmarkEnd w:id="21"/>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5D10D9" w:rsidRPr="00A27582" w:rsidRDefault="005D10D9">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5D10D9" w:rsidRPr="00A27582" w:rsidRDefault="005D10D9">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2" w:name="_Toc151631194"/>
      <w:r>
        <w:t xml:space="preserve">Figure </w:t>
      </w:r>
      <w:fldSimple w:instr=" SEQ Figure \* ARABIC ">
        <w:r w:rsidR="00C60E76">
          <w:rPr>
            <w:noProof/>
          </w:rPr>
          <w:t>12</w:t>
        </w:r>
      </w:fldSimple>
      <w:r>
        <w:t xml:space="preserve"> : Schéma induction électromagnétiqu</w:t>
      </w:r>
      <w:r w:rsidR="00266655">
        <w:t>e</w:t>
      </w:r>
      <w:bookmarkEnd w:id="22"/>
    </w:p>
    <w:p w:rsidR="00F82361" w:rsidRDefault="004C1D50" w:rsidP="00F82361">
      <w:pPr>
        <w:pStyle w:val="Titre3"/>
      </w:pPr>
      <w:bookmarkStart w:id="23" w:name="_Toc151631167"/>
      <w:r>
        <w:lastRenderedPageBreak/>
        <w:t>Loi de Faraday</w:t>
      </w:r>
      <w:bookmarkEnd w:id="23"/>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5D10D9">
      <w:pPr>
        <w:jc w:val="center"/>
      </w:pPr>
      <w:r>
        <w:t>Soit</w:t>
      </w:r>
      <w:r w:rsidR="005D10D9">
        <w:t xml:space="preserve">  </w:t>
      </w:r>
      <w:r>
        <w:t xml:space="preserve">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4" w:name="_Toc151631168"/>
      <w:r>
        <w:t>Effet de peau</w:t>
      </w:r>
      <w:bookmarkEnd w:id="24"/>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5D10D9" w:rsidRDefault="005D10D9" w:rsidP="005D10D9">
      <w:pPr>
        <w:jc w:val="center"/>
        <w:rPr>
          <w:rFonts w:cs="Arial"/>
          <w:color w:val="222222"/>
          <w:spacing w:val="5"/>
          <w:sz w:val="36"/>
          <w:szCs w:val="36"/>
          <w:shd w:val="clear" w:color="auto" w:fill="FFFFFF"/>
        </w:rPr>
      </w:pPr>
      <w:r>
        <w:rPr>
          <w:rFonts w:cs="Arial"/>
          <w:color w:val="222222"/>
          <w:spacing w:val="5"/>
          <w:sz w:val="26"/>
          <w:szCs w:val="26"/>
          <w:shd w:val="clear" w:color="auto" w:fill="FFFFFF"/>
        </w:rPr>
        <w:t xml:space="preserve">Soit </w:t>
      </w:r>
      <m:oMath>
        <m:r>
          <w:rPr>
            <w:rFonts w:ascii="Cambria Math" w:hAnsi="Cambria Math" w:cs="Cambria Math"/>
            <w:color w:val="222222"/>
            <w:spacing w:val="5"/>
            <w:sz w:val="36"/>
            <w:szCs w:val="36"/>
            <w:shd w:val="clear" w:color="auto" w:fill="FFFFFF"/>
          </w:rPr>
          <m:t>δ</m:t>
        </m:r>
        <m:r>
          <m:rPr>
            <m:sty m:val="p"/>
          </m:rPr>
          <w:rPr>
            <w:rFonts w:ascii="Cambria Math" w:hAnsi="Cambria Math" w:cs="Cambria Math"/>
            <w:color w:val="222222"/>
            <w:spacing w:val="5"/>
            <w:sz w:val="36"/>
            <w:szCs w:val="36"/>
            <w:shd w:val="clear" w:color="auto" w:fill="FFFFFF"/>
          </w:rPr>
          <m:t>=</m:t>
        </m:r>
        <m:f>
          <m:fPr>
            <m:ctrlPr>
              <w:rPr>
                <w:rFonts w:ascii="Cambria Math" w:hAnsi="Cambria Math" w:cs="Arial"/>
                <w:color w:val="222222"/>
                <w:spacing w:val="5"/>
                <w:sz w:val="36"/>
                <w:szCs w:val="36"/>
                <w:shd w:val="clear" w:color="auto" w:fill="FFFFFF"/>
              </w:rPr>
            </m:ctrlPr>
          </m:fPr>
          <m:num>
            <m:r>
              <w:rPr>
                <w:rFonts w:ascii="Cambria Math" w:hAnsi="Cambria Math" w:cs="Arial"/>
                <w:color w:val="222222"/>
                <w:spacing w:val="5"/>
                <w:sz w:val="36"/>
                <w:szCs w:val="36"/>
                <w:shd w:val="clear" w:color="auto" w:fill="FFFFFF"/>
              </w:rPr>
              <m:t>1</m:t>
            </m:r>
          </m:num>
          <m:den>
            <m:rad>
              <m:radPr>
                <m:degHide m:val="1"/>
                <m:ctrlPr>
                  <w:rPr>
                    <w:rFonts w:ascii="Cambria Math" w:hAnsi="Cambria Math" w:cs="Arial"/>
                    <w:i/>
                    <w:color w:val="222222"/>
                    <w:spacing w:val="5"/>
                    <w:sz w:val="36"/>
                    <w:szCs w:val="36"/>
                    <w:shd w:val="clear" w:color="auto" w:fill="FFFFFF"/>
                  </w:rPr>
                </m:ctrlPr>
              </m:radPr>
              <m:deg/>
              <m:e>
                <m:r>
                  <w:rPr>
                    <w:rFonts w:ascii="Cambria Math" w:hAnsi="Cambria Math" w:cs="Cambria Math"/>
                    <w:color w:val="222222"/>
                    <w:spacing w:val="5"/>
                    <w:sz w:val="36"/>
                    <w:szCs w:val="36"/>
                    <w:shd w:val="clear" w:color="auto" w:fill="FFFFFF"/>
                  </w:rPr>
                  <m:t>σµπf</m:t>
                </m:r>
              </m:e>
            </m:rad>
          </m:den>
        </m:f>
      </m:oMath>
    </w:p>
    <w:p w:rsidR="0090343F" w:rsidRDefault="0090343F" w:rsidP="004B196D">
      <w:pPr>
        <w:rPr>
          <w:shd w:val="clear" w:color="auto" w:fill="FFFFFF"/>
        </w:rPr>
      </w:pPr>
      <w:r>
        <w:rPr>
          <w:shd w:val="clear" w:color="auto" w:fill="FFFFFF"/>
        </w:rPr>
        <w:t xml:space="preserve">Avec : </w:t>
      </w:r>
      <m:oMath>
        <m:r>
          <w:rPr>
            <w:rFonts w:ascii="Cambria Math" w:hAnsi="Cambria Math" w:cs="Cambria Math"/>
            <w:shd w:val="clear" w:color="auto" w:fill="FFFFFF"/>
          </w:rPr>
          <m:t>δ</m:t>
        </m:r>
      </m:oMath>
      <w:r w:rsidR="008C463E">
        <w:rPr>
          <w:shd w:val="clear" w:color="auto" w:fill="FFFFFF"/>
        </w:rPr>
        <w:t xml:space="preserve"> </w:t>
      </w:r>
      <w:r w:rsidR="008C463E" w:rsidRPr="008C463E">
        <w:rPr>
          <w:bCs/>
          <w:color w:val="202124"/>
          <w:shd w:val="clear" w:color="auto" w:fill="FFFFFF"/>
        </w:rPr>
        <w:t>É</w:t>
      </w:r>
      <w:r>
        <w:rPr>
          <w:shd w:val="clear" w:color="auto" w:fill="FFFFFF"/>
        </w:rPr>
        <w:t>paisseur de peau (m),</w:t>
      </w:r>
    </w:p>
    <w:p w:rsidR="0090343F" w:rsidRDefault="0090343F" w:rsidP="004B196D">
      <w:pPr>
        <w:rPr>
          <w:shd w:val="clear" w:color="auto" w:fill="FFFFFF"/>
        </w:rPr>
      </w:pPr>
      <w:r>
        <w:rPr>
          <w:sz w:val="26"/>
          <w:szCs w:val="26"/>
          <w:shd w:val="clear" w:color="auto" w:fill="FFFFFF"/>
        </w:rPr>
        <w:t xml:space="preserve">               </w:t>
      </w:r>
      <m:oMath>
        <m:r>
          <w:rPr>
            <w:rFonts w:ascii="Cambria Math" w:hAnsi="Cambria Math" w:cs="Cambria Math"/>
            <w:shd w:val="clear" w:color="auto" w:fill="FFFFFF"/>
          </w:rPr>
          <m:t>f</m:t>
        </m:r>
      </m:oMath>
      <w:r>
        <w:rPr>
          <w:shd w:val="clear" w:color="auto" w:fill="FFFFFF"/>
        </w:rPr>
        <w:t xml:space="preserve"> Fréquence de courant (Hz)</w:t>
      </w:r>
    </w:p>
    <w:p w:rsidR="008C463E" w:rsidRDefault="008C463E" w:rsidP="004B196D">
      <w:pPr>
        <w:rPr>
          <w:shd w:val="clear" w:color="auto" w:fill="FFFFFF"/>
        </w:rPr>
      </w:pPr>
      <w:r>
        <w:rPr>
          <w:shd w:val="clear" w:color="auto" w:fill="FFFFFF"/>
        </w:rPr>
        <w:t xml:space="preserve">           µ </w:t>
      </w:r>
      <w:proofErr w:type="spellStart"/>
      <w:r>
        <w:rPr>
          <w:shd w:val="clear" w:color="auto" w:fill="FFFFFF"/>
        </w:rPr>
        <w:t>Permabilité</w:t>
      </w:r>
      <w:proofErr w:type="spellEnd"/>
      <w:r>
        <w:rPr>
          <w:shd w:val="clear" w:color="auto" w:fill="FFFFFF"/>
        </w:rPr>
        <w:t xml:space="preserve"> magnétique (H/m)</w:t>
      </w:r>
    </w:p>
    <w:p w:rsidR="008C463E" w:rsidRDefault="008C463E" w:rsidP="004B196D">
      <w:pPr>
        <w:rPr>
          <w:shd w:val="clear" w:color="auto" w:fill="FFFFFF"/>
        </w:rPr>
      </w:pPr>
      <w:r>
        <w:rPr>
          <w:shd w:val="clear" w:color="auto" w:fill="FFFFFF"/>
        </w:rPr>
        <w:t xml:space="preserve">           </w:t>
      </w:r>
      <m:oMath>
        <m:r>
          <w:rPr>
            <w:rFonts w:ascii="Cambria Math" w:hAnsi="Cambria Math" w:cs="Cambria Math"/>
            <w:shd w:val="clear" w:color="auto" w:fill="FFFFFF"/>
          </w:rPr>
          <m:t>σ</m:t>
        </m:r>
      </m:oMath>
      <w:r>
        <w:rPr>
          <w:shd w:val="clear" w:color="auto" w:fill="FFFFFF"/>
        </w:rPr>
        <w:t xml:space="preserve"> Conductivité électrique (S/m)</w:t>
      </w:r>
    </w:p>
    <w:p w:rsidR="0090343F" w:rsidRDefault="0090343F" w:rsidP="0090343F">
      <w:pPr>
        <w:rPr>
          <w:rFonts w:cs="Arial"/>
          <w:color w:val="222222"/>
          <w:spacing w:val="5"/>
          <w:sz w:val="26"/>
          <w:szCs w:val="26"/>
          <w:shd w:val="clear" w:color="auto" w:fill="FFFFFF"/>
        </w:rPr>
      </w:pPr>
    </w:p>
    <w:p w:rsidR="005D10D9" w:rsidRDefault="005D10D9" w:rsidP="00A8488B">
      <w:pPr>
        <w:rPr>
          <w:rFonts w:cs="Arial"/>
          <w:color w:val="222222"/>
          <w:spacing w:val="5"/>
          <w:sz w:val="26"/>
          <w:szCs w:val="26"/>
          <w:shd w:val="clear" w:color="auto" w:fill="FFFFFF"/>
        </w:rPr>
      </w:pP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bookmarkStart w:id="25" w:name="_GoBack"/>
      <w:bookmarkEnd w:id="25"/>
    </w:p>
    <w:p w:rsidR="00AC7DDE" w:rsidRDefault="00BE1C35" w:rsidP="00BE1C35">
      <w:pPr>
        <w:pStyle w:val="Titre1"/>
      </w:pPr>
      <w:bookmarkStart w:id="26" w:name="_Toc151631169"/>
      <w:r>
        <w:lastRenderedPageBreak/>
        <w:t>Réalisations</w:t>
      </w:r>
      <w:r w:rsidR="005008B4">
        <w:t xml:space="preserve"> du projet</w:t>
      </w:r>
      <w:bookmarkEnd w:id="26"/>
    </w:p>
    <w:p w:rsidR="00BE1C35" w:rsidRDefault="00B40B11" w:rsidP="005008B4">
      <w:pPr>
        <w:pStyle w:val="Titre2"/>
      </w:pPr>
      <w:bookmarkStart w:id="27" w:name="_Toc151631170"/>
      <w:r>
        <w:t>Communication RS232 et réglages du PSM+IAI</w:t>
      </w:r>
      <w:bookmarkEnd w:id="27"/>
    </w:p>
    <w:p w:rsidR="0064776D" w:rsidRDefault="0064776D" w:rsidP="0064776D">
      <w:pPr>
        <w:pStyle w:val="Titre3"/>
      </w:pPr>
      <w:bookmarkStart w:id="28" w:name="_Toc151631171"/>
      <w:r>
        <w:t>Communication en RS232</w:t>
      </w:r>
      <w:bookmarkEnd w:id="28"/>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29" w:name="_Toc151631195"/>
      <w:r>
        <w:t xml:space="preserve">Figure </w:t>
      </w:r>
      <w:fldSimple w:instr=" SEQ Figure \* ARABIC ">
        <w:r>
          <w:rPr>
            <w:noProof/>
          </w:rPr>
          <w:t>13</w:t>
        </w:r>
      </w:fldSimple>
      <w:r>
        <w:t xml:space="preserve"> : </w:t>
      </w:r>
      <w:r w:rsidRPr="00243667">
        <w:t>Schéma communication RS232</w:t>
      </w:r>
      <w:bookmarkEnd w:id="29"/>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651524" w:rsidP="0064776D">
      <w:pPr>
        <w:pStyle w:val="Titre3"/>
      </w:pPr>
      <w:bookmarkStart w:id="30" w:name="_Toc151631172"/>
      <w:r>
        <w:lastRenderedPageBreak/>
        <w:t>protocole</w:t>
      </w:r>
      <w:r w:rsidR="008200FE">
        <w:t xml:space="preserve"> de réglage du PSM+IAI</w:t>
      </w:r>
      <w:bookmarkEnd w:id="30"/>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1" w:name="_Toc151631196"/>
      <w:r>
        <w:t xml:space="preserve">Figure </w:t>
      </w:r>
      <w:fldSimple w:instr=" SEQ Figure \* ARABIC ">
        <w:r>
          <w:rPr>
            <w:noProof/>
          </w:rPr>
          <w:t>6</w:t>
        </w:r>
      </w:fldSimple>
      <w:r>
        <w:t xml:space="preserve"> : Pièce supérieur SolidWorks</w:t>
      </w:r>
      <w:bookmarkEnd w:id="31"/>
      <w:r>
        <w:t xml:space="preserve"> </w:t>
      </w:r>
      <w:r>
        <w:tab/>
      </w:r>
      <w:r>
        <w:tab/>
      </w:r>
      <w:r>
        <w:tab/>
      </w:r>
      <w:r>
        <w:rPr>
          <w:noProof/>
          <w:lang w:eastAsia="fr-FR"/>
        </w:rPr>
        <w:t xml:space="preserve">  </w:t>
      </w:r>
    </w:p>
    <w:p w:rsidR="008841E9" w:rsidRDefault="00E25B97" w:rsidP="00AA2C97">
      <w:pPr>
        <w:pStyle w:val="Lgende"/>
        <w:ind w:left="4248" w:firstLine="708"/>
      </w:pPr>
      <w:bookmarkStart w:id="32" w:name="_Toc151631197"/>
      <w:r>
        <w:t xml:space="preserve">Figure </w:t>
      </w:r>
      <w:fldSimple w:instr=" SEQ Figure \* ARABIC ">
        <w:r>
          <w:rPr>
            <w:noProof/>
          </w:rPr>
          <w:t>8</w:t>
        </w:r>
      </w:fldSimple>
      <w:r>
        <w:t xml:space="preserve"> : </w:t>
      </w:r>
      <w:r w:rsidRPr="00D14EE1">
        <w:t>Pièce inférieur</w:t>
      </w:r>
      <w:r>
        <w:t xml:space="preserve"> </w:t>
      </w:r>
      <w:r w:rsidRPr="00D14EE1">
        <w:t>SolidWorks</w:t>
      </w:r>
      <w:bookmarkEnd w:id="32"/>
      <w:r>
        <w:t xml:space="preserve"> </w:t>
      </w:r>
    </w:p>
    <w:p w:rsidR="00AA2C97" w:rsidRDefault="00AA2C97" w:rsidP="00AA2C97"/>
    <w:p w:rsidR="0086165B" w:rsidRPr="00AA2C97" w:rsidRDefault="0086165B" w:rsidP="00AA2C97"/>
    <w:p w:rsidR="008841E9" w:rsidRDefault="008841E9" w:rsidP="00B7320A">
      <w:pPr>
        <w:pStyle w:val="Titre2"/>
      </w:pPr>
      <w:bookmarkStart w:id="33" w:name="_Toc151631173"/>
      <w:r>
        <w:lastRenderedPageBreak/>
        <w:t>Choix de la fréquence d’utilisation</w:t>
      </w:r>
      <w:bookmarkEnd w:id="33"/>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4" w:name="_Toc151631174"/>
      <w:r>
        <w:t>Comparaisons modele / mesures</w:t>
      </w:r>
      <w:bookmarkEnd w:id="34"/>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AD7B88" w:rsidRPr="008D64D9" w:rsidRDefault="00AD7B88" w:rsidP="00845C85"/>
    <w:p w:rsidR="00420FA4" w:rsidRPr="005B0EC5" w:rsidRDefault="00154AB9" w:rsidP="00420FA4">
      <w:pPr>
        <w:pStyle w:val="Titre1"/>
      </w:pPr>
      <w:bookmarkStart w:id="35" w:name="_Toc151631175"/>
      <w:r w:rsidRPr="005B0EC5">
        <w:lastRenderedPageBreak/>
        <w:t>Interface graphique</w:t>
      </w:r>
      <w:r w:rsidR="005E217C">
        <w:t> ???</w:t>
      </w:r>
      <w:bookmarkEnd w:id="35"/>
    </w:p>
    <w:p w:rsidR="00352B85" w:rsidRDefault="00746493" w:rsidP="00352B85">
      <w:pPr>
        <w:pStyle w:val="Titre2"/>
      </w:pPr>
      <w:bookmarkStart w:id="36" w:name="_Toc151631176"/>
      <w:r>
        <w:t xml:space="preserve">Interface </w:t>
      </w:r>
      <w:r w:rsidR="009876F8">
        <w:t>graphique : GUI</w:t>
      </w:r>
      <w:bookmarkEnd w:id="36"/>
      <w:r w:rsidR="009876F8">
        <w:t xml:space="preserve"> </w:t>
      </w:r>
    </w:p>
    <w:p w:rsidR="00284FF9" w:rsidRDefault="00420FA4" w:rsidP="009E5000">
      <w:pPr>
        <w:pStyle w:val="Titre3"/>
      </w:pPr>
      <w:bookmarkStart w:id="37" w:name="_Toc151631178"/>
      <w:r>
        <w:t>Protocole de réglage</w:t>
      </w:r>
      <w:bookmarkEnd w:id="37"/>
      <w:r>
        <w:t xml:space="preserve"> </w:t>
      </w:r>
    </w:p>
    <w:p w:rsidR="005A7826" w:rsidRDefault="005A7826" w:rsidP="00B32281">
      <w:r w:rsidRPr="005A7826">
        <w:t xml:space="preserve">Dans un premier temps, nous avons ajusté manuellement le PSM et l'IAI en utilisant les commandes disponibles sur l'appareil. Cependant, dans le but d'automatiser l'ensemble du processus, nous avons élaboré un protocole de réglage sur Matlab. </w:t>
      </w:r>
    </w:p>
    <w:p w:rsidR="005A7826" w:rsidRDefault="005A7826" w:rsidP="00B32281">
      <w:r w:rsidRPr="005A7826">
        <w:t>Les commandes ci-dessous sont extraites du livre "N4L Communication Manuals".</w:t>
      </w:r>
    </w:p>
    <w:p w:rsidR="005A7826" w:rsidRDefault="005A7826" w:rsidP="005A7826">
      <w:pPr>
        <w:tabs>
          <w:tab w:val="center" w:pos="4535"/>
          <w:tab w:val="right" w:pos="9070"/>
        </w:tabs>
        <w:jc w:val="left"/>
      </w:pPr>
    </w:p>
    <w:p w:rsidR="00284FF9" w:rsidRPr="00BF4908" w:rsidRDefault="005A7826" w:rsidP="005A7826">
      <w:pPr>
        <w:tabs>
          <w:tab w:val="center" w:pos="4535"/>
          <w:tab w:val="right" w:pos="9070"/>
        </w:tabs>
        <w:jc w:val="left"/>
        <w:rPr>
          <w:i/>
        </w:rPr>
      </w:pPr>
      <w:r>
        <w:rPr>
          <w:i/>
        </w:rPr>
        <w:tab/>
      </w:r>
      <w:r w:rsidR="00284FF9" w:rsidRPr="00BF4908">
        <w:rPr>
          <w:i/>
        </w:rPr>
        <w:t>Protocole de réglage du PSM1735 + IAI via Matlab</w:t>
      </w:r>
      <w:r>
        <w:rPr>
          <w:i/>
        </w:rPr>
        <w:tab/>
      </w:r>
    </w:p>
    <w:p w:rsidR="00284FF9" w:rsidRDefault="00284FF9" w:rsidP="00284FF9">
      <w:r>
        <w:t>*MODIFIER LE BAUDRATE EN MANUELLE ET LE AUX FIXTURE</w:t>
      </w:r>
    </w:p>
    <w:p w:rsidR="00284FF9" w:rsidRDefault="00284FF9" w:rsidP="00284FF9">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284FF9"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704320" behindDoc="0" locked="0" layoutInCell="1" allowOverlap="1" wp14:anchorId="668E3864" wp14:editId="79163369">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7674A" id="Rectangle à coins arrondis 19" o:spid="_x0000_s1026" style="position:absolute;margin-left:194.6pt;margin-top:7.85pt;width:122.25pt;height: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7392" behindDoc="1" locked="0" layoutInCell="1" allowOverlap="1" wp14:anchorId="63BF303D" wp14:editId="38AA7FFC">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F303D" id="_x0000_s1034" type="#_x0000_t202" style="position:absolute;left:0;text-align:left;margin-left:198.35pt;margin-top:6.15pt;width:83.25pt;height:5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5D10D9" w:rsidRDefault="005D10D9" w:rsidP="00284FF9">
                      <w:pPr>
                        <w:rPr>
                          <w:sz w:val="16"/>
                          <w:szCs w:val="16"/>
                        </w:rPr>
                      </w:pPr>
                      <w:r>
                        <w:rPr>
                          <w:sz w:val="16"/>
                          <w:szCs w:val="16"/>
                        </w:rPr>
                        <w:t xml:space="preserve">CR= Retour chariot </w:t>
                      </w:r>
                    </w:p>
                    <w:p w:rsidR="005D10D9" w:rsidRPr="00C15F2F" w:rsidRDefault="005D10D9" w:rsidP="00284FF9">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6368" behindDoc="1" locked="0" layoutInCell="1" allowOverlap="1" wp14:anchorId="7FFCA8A1" wp14:editId="1ADE30A3">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CA8A1" id="_x0000_s1035" type="#_x0000_t202" style="position:absolute;left:0;text-align:left;margin-left:109.1pt;margin-top:6.15pt;width:75.75pt;height: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5D10D9" w:rsidRPr="00C15F2F" w:rsidRDefault="005D10D9" w:rsidP="00284FF9">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3296" behindDoc="0" locked="0" layoutInCell="1" allowOverlap="1" wp14:anchorId="58FC9256" wp14:editId="6C86E520">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5DD216" id="Rectangle à coins arrondis 21" o:spid="_x0000_s1026" style="position:absolute;margin-left:103.15pt;margin-top:8.6pt;width:87.75pt;height:2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Pr="00C15F2F">
        <w:rPr>
          <w:rFonts w:ascii="Courier New" w:hAnsi="Courier New" w:cs="Courier New"/>
          <w:noProof/>
          <w:color w:val="000000"/>
          <w:lang w:eastAsia="fr-FR"/>
        </w:rPr>
        <mc:AlternateContent>
          <mc:Choice Requires="wps">
            <w:drawing>
              <wp:anchor distT="45720" distB="45720" distL="114300" distR="114300" simplePos="0" relativeHeight="251705344" behindDoc="1" locked="0" layoutInCell="1" allowOverlap="1" wp14:anchorId="0E10EE72" wp14:editId="3A983B98">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5D10D9" w:rsidRPr="00C15F2F" w:rsidRDefault="005D10D9" w:rsidP="00284FF9">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EE72" id="_x0000_s1036" type="#_x0000_t202" style="position:absolute;left:0;text-align:left;margin-left:29.6pt;margin-top:2.4pt;width:79.5pt;height:4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5D10D9" w:rsidRPr="00C15F2F" w:rsidRDefault="005D10D9" w:rsidP="00284FF9">
                      <w:pPr>
                        <w:jc w:val="left"/>
                        <w:rPr>
                          <w:sz w:val="16"/>
                          <w:szCs w:val="16"/>
                        </w:rPr>
                      </w:pPr>
                      <w:r w:rsidRPr="00C15F2F">
                        <w:rPr>
                          <w:sz w:val="16"/>
                          <w:szCs w:val="16"/>
                        </w:rPr>
                        <w:t>Port de connexion</w:t>
                      </w:r>
                    </w:p>
                  </w:txbxContent>
                </v:textbox>
              </v:shape>
            </w:pict>
          </mc:Fallback>
        </mc:AlternateContent>
      </w:r>
      <w:r>
        <w:rPr>
          <w:rFonts w:ascii="Courier New" w:hAnsi="Courier New" w:cs="Courier New"/>
          <w:noProof/>
          <w:color w:val="000000"/>
          <w:lang w:eastAsia="fr-FR"/>
        </w:rPr>
        <mc:AlternateContent>
          <mc:Choice Requires="wps">
            <w:drawing>
              <wp:anchor distT="0" distB="0" distL="114300" distR="114300" simplePos="0" relativeHeight="251702272" behindDoc="0" locked="0" layoutInCell="1" allowOverlap="1" wp14:anchorId="7D330830" wp14:editId="29CE0EB4">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18F2E6" id="Rectangle à coins arrondis 20" o:spid="_x0000_s1026" style="position:absolute;margin-left:30.4pt;margin-top:10.1pt;width:63.75pt;height:20.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284FF9" w:rsidRDefault="00284FF9" w:rsidP="00284FF9">
      <w:pPr>
        <w:autoSpaceDE w:val="0"/>
        <w:autoSpaceDN w:val="0"/>
        <w:adjustRightInd w:val="0"/>
        <w:spacing w:after="0" w:line="240" w:lineRule="auto"/>
        <w:rPr>
          <w:rFonts w:ascii="Courier New" w:hAnsi="Courier New" w:cs="Courier New"/>
          <w:color w:val="000000"/>
        </w:rPr>
      </w:pPr>
    </w:p>
    <w:p w:rsidR="00284FF9" w:rsidRDefault="00284FF9" w:rsidP="00284FF9">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284FF9" w:rsidRPr="00AA2C97" w:rsidRDefault="00284FF9" w:rsidP="00284FF9">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A2C97" w:rsidRDefault="00284FF9" w:rsidP="00284FF9">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284FF9" w:rsidRPr="00834C11" w:rsidRDefault="00284FF9" w:rsidP="00284FF9">
      <w:pPr>
        <w:autoSpaceDE w:val="0"/>
        <w:autoSpaceDN w:val="0"/>
        <w:adjustRightInd w:val="0"/>
        <w:spacing w:after="0" w:line="240" w:lineRule="auto"/>
        <w:rPr>
          <w:rFonts w:ascii="Courier New" w:hAnsi="Courier New" w:cs="Courier New"/>
          <w:color w:val="0070C0"/>
          <w:sz w:val="24"/>
          <w:szCs w:val="24"/>
        </w:rPr>
      </w:pPr>
    </w:p>
    <w:p w:rsidR="00284FF9" w:rsidRPr="00A01E2D" w:rsidRDefault="00284FF9" w:rsidP="00284FF9">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284FF9" w:rsidRPr="00834C11" w:rsidRDefault="00284FF9" w:rsidP="00284FF9">
      <w:pPr>
        <w:autoSpaceDE w:val="0"/>
        <w:autoSpaceDN w:val="0"/>
        <w:adjustRightInd w:val="0"/>
        <w:spacing w:after="0" w:line="240" w:lineRule="auto"/>
        <w:rPr>
          <w:rFonts w:ascii="Courier New" w:hAnsi="Courier New" w:cs="Courier New"/>
          <w:color w:val="0070C0"/>
        </w:rPr>
      </w:pPr>
    </w:p>
    <w:p w:rsidR="00284FF9" w:rsidRDefault="00284FF9" w:rsidP="00284FF9">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284FF9" w:rsidRDefault="00284FF9"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284FF9">
      <w:pPr>
        <w:ind w:left="360"/>
      </w:pPr>
    </w:p>
    <w:p w:rsidR="00352B85" w:rsidRDefault="00352B85" w:rsidP="00352B85">
      <w:pPr>
        <w:pStyle w:val="Titre3"/>
      </w:pPr>
      <w:bookmarkStart w:id="38" w:name="_Toc151631177"/>
      <w:r>
        <w:lastRenderedPageBreak/>
        <w:t>Création de l’interface graphique primaire</w:t>
      </w:r>
      <w:bookmarkEnd w:id="38"/>
      <w:r>
        <w:t xml:space="preserve"> </w:t>
      </w:r>
    </w:p>
    <w:p w:rsidR="00352B85" w:rsidRDefault="00352B85" w:rsidP="00352B85">
      <w:pPr>
        <w:pStyle w:val="Paragraphedeliste"/>
        <w:numPr>
          <w:ilvl w:val="0"/>
          <w:numId w:val="7"/>
        </w:numPr>
      </w:pPr>
      <w:r>
        <w:t xml:space="preserve">Introduction aux parties de l’interface graphique </w:t>
      </w:r>
    </w:p>
    <w:p w:rsidR="00352B85" w:rsidRDefault="00352B85" w:rsidP="00352B85">
      <w:pPr>
        <w:pStyle w:val="Paragraphedeliste"/>
        <w:numPr>
          <w:ilvl w:val="0"/>
          <w:numId w:val="7"/>
        </w:numPr>
      </w:pPr>
      <w:r>
        <w:t xml:space="preserve">Introduction aux codes des BP, </w:t>
      </w:r>
      <w:proofErr w:type="spellStart"/>
      <w:r>
        <w:t>EditText</w:t>
      </w:r>
      <w:proofErr w:type="spellEnd"/>
      <w:r>
        <w:t xml:space="preserve"> etc… </w:t>
      </w:r>
    </w:p>
    <w:p w:rsidR="00CC5E27" w:rsidRDefault="00352B85" w:rsidP="001347D1">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39" w:name="_Toc151631179"/>
      <w:r>
        <w:t>Acquisition des mesures du PSM</w:t>
      </w:r>
      <w:bookmarkEnd w:id="39"/>
      <w:r>
        <w:t xml:space="preserve"> </w:t>
      </w:r>
    </w:p>
    <w:p w:rsidR="0054452F" w:rsidRPr="0054452F" w:rsidRDefault="0054452F" w:rsidP="0054452F"/>
    <w:p w:rsidR="00EE35BA" w:rsidRDefault="00C61D61" w:rsidP="00EE35BA">
      <w:pPr>
        <w:pStyle w:val="Titre2"/>
      </w:pPr>
      <w:bookmarkStart w:id="40" w:name="_Toc151631180"/>
      <w:r>
        <w:t>Mesure de conductivité</w:t>
      </w:r>
      <w:bookmarkEnd w:id="40"/>
      <w:r>
        <w:t xml:space="preserve"> </w:t>
      </w:r>
    </w:p>
    <w:p w:rsidR="00CD31D2" w:rsidRDefault="00CD31D2" w:rsidP="00CD31D2">
      <w:r>
        <w:t>Pour mesurer la conductivité de notre matériau plusieurs variables entre en compte, tel que les caractéristiques de la bobine, la fréquence d’utilisation et dimensions des matériaux.</w:t>
      </w:r>
    </w:p>
    <w:p w:rsidR="00CD31D2" w:rsidRPr="00CD31D2" w:rsidRDefault="00CD31D2" w:rsidP="00CD31D2"/>
    <w:p w:rsidR="00EE35BA" w:rsidRDefault="00EE35BA" w:rsidP="00EE35BA">
      <w:pPr>
        <w:pStyle w:val="Titre3"/>
      </w:pPr>
      <w:r>
        <w:t>fminsearch</w:t>
      </w:r>
    </w:p>
    <w:p w:rsidR="00EE35BA" w:rsidRPr="00EE35BA" w:rsidRDefault="00EE35BA" w:rsidP="00EE35BA"/>
    <w:p w:rsidR="00EE35BA" w:rsidRDefault="00EE35BA" w:rsidP="00EE35BA">
      <w:pPr>
        <w:pStyle w:val="Titre3"/>
      </w:pPr>
    </w:p>
    <w:p w:rsidR="00EE35BA" w:rsidRDefault="00EE35BA" w:rsidP="00EE35BA">
      <w:pPr>
        <w:pStyle w:val="Titre3"/>
      </w:pPr>
    </w:p>
    <w:p w:rsidR="00EE35BA" w:rsidRPr="00EE35BA" w:rsidRDefault="00EE35BA" w:rsidP="00EE35BA"/>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112C3" w:rsidRDefault="008112C3" w:rsidP="00432EB6"/>
    <w:p w:rsidR="008112C3" w:rsidRDefault="008112C3" w:rsidP="00432EB6"/>
    <w:p w:rsidR="008112C3" w:rsidRDefault="008112C3" w:rsidP="00432EB6"/>
    <w:p w:rsidR="008112C3" w:rsidRDefault="008112C3" w:rsidP="00432EB6"/>
    <w:p w:rsidR="008112C3" w:rsidRDefault="008112C3"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1" w:name="_Toc151631181"/>
      <w:r w:rsidRPr="000411D3">
        <w:t>Conclusion</w:t>
      </w:r>
      <w:bookmarkEnd w:id="41"/>
    </w:p>
    <w:p w:rsidR="009876F8" w:rsidRDefault="00A10D35" w:rsidP="003229CA">
      <w:pPr>
        <w:pStyle w:val="Titre2"/>
        <w:numPr>
          <w:ilvl w:val="0"/>
          <w:numId w:val="0"/>
        </w:numPr>
        <w:ind w:left="576" w:hanging="576"/>
      </w:pPr>
      <w:bookmarkStart w:id="42" w:name="_Toc151631182"/>
      <w:r>
        <w:t>Conclusion technique</w:t>
      </w:r>
      <w:bookmarkEnd w:id="42"/>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3" w:name="_Toc151631183"/>
      <w:r>
        <w:t>Conclusion personnelle</w:t>
      </w:r>
      <w:bookmarkEnd w:id="43"/>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w:t>
      </w:r>
      <w:r w:rsidR="004B230D">
        <w:t>et l’</w:t>
      </w:r>
      <w:r w:rsidRPr="008F26EE">
        <w:t xml:space="preserve">électronique avec les principes fondamentaux de la physique, il s'est révélé être </w:t>
      </w:r>
      <w:r>
        <w:t>un projet très complet. Au cours de celui-ci</w:t>
      </w:r>
      <w:r w:rsidRPr="008F26EE">
        <w:t xml:space="preserve">, j'ai pu non seulement développer mes compétences techniques, </w:t>
      </w:r>
      <w:r w:rsidRPr="008F26EE">
        <w:lastRenderedPageBreak/>
        <w:t xml:space="preserve">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4" w:name="_Toc151631184"/>
      <w:r>
        <w:t>Perspective d’avenir</w:t>
      </w:r>
      <w:bookmarkEnd w:id="44"/>
    </w:p>
    <w:p w:rsidR="00C3158C" w:rsidRDefault="00C3158C" w:rsidP="00FF0600">
      <w:pPr>
        <w:rPr>
          <w:rFonts w:eastAsia="Times New Roman"/>
          <w:lang w:eastAsia="en-GB"/>
        </w:rPr>
      </w:pPr>
      <w:r>
        <w:rPr>
          <w:rFonts w:eastAsia="Times New Roman"/>
          <w:lang w:eastAsia="en-GB"/>
        </w:rPr>
        <w:t xml:space="preserve">De nombreuse </w:t>
      </w:r>
      <w:r w:rsidR="008371A9">
        <w:rPr>
          <w:rFonts w:eastAsia="Times New Roman"/>
          <w:lang w:eastAsia="en-GB"/>
        </w:rPr>
        <w:t>pe</w:t>
      </w:r>
      <w:r w:rsidR="00C17B65">
        <w:rPr>
          <w:rFonts w:eastAsia="Times New Roman"/>
          <w:lang w:eastAsia="en-GB"/>
        </w:rPr>
        <w:t>rspective d’avenir sont en vue pour la</w:t>
      </w:r>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5" w:name="_Toc151631185"/>
      <w:r>
        <w:t>Annexe</w:t>
      </w:r>
      <w:bookmarkEnd w:id="45"/>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6" w:name="_Toc151631186"/>
      <w:r>
        <w:t>Bibliographie</w:t>
      </w:r>
      <w:bookmarkEnd w:id="46"/>
      <w:r>
        <w:t xml:space="preserve"> </w:t>
      </w:r>
    </w:p>
    <w:p w:rsidR="008053B5" w:rsidRDefault="008053B5" w:rsidP="008053B5">
      <w:r>
        <w:t>TECHNIQUE :</w:t>
      </w:r>
    </w:p>
    <w:p w:rsidR="008053B5" w:rsidRDefault="008053B5" w:rsidP="008053B5">
      <w:r>
        <w:t>Loi de faraday </w:t>
      </w:r>
      <w:proofErr w:type="gramStart"/>
      <w:r>
        <w:t>:</w:t>
      </w:r>
      <w:proofErr w:type="gramEnd"/>
      <w:r w:rsidR="00C22EBC">
        <w:fldChar w:fldCharType="begin"/>
      </w:r>
      <w:r w:rsidR="00C22EBC">
        <w:instrText xml:space="preserve"> HYPERLINK "http://ressources.univ-lemans.fr/AccesLibre/UM/Pedago/physique/02/electri/faraday.html" \l ":~:text=La%20loi%20de%20Faraday%20dit,%3D%20%E2%88%92%20d%CE%A6%20%2F%20dt" </w:instrText>
      </w:r>
      <w:r w:rsidR="00C22EBC">
        <w:fldChar w:fldCharType="separate"/>
      </w:r>
      <w:r w:rsidRPr="00D11FF2">
        <w:rPr>
          <w:rStyle w:val="Lienhypertexte"/>
        </w:rPr>
        <w:t>http://ressources.univ-lemans.fr/AccesLibre/UM/Pedago/physique/02/electri/faraday.html#:~:text=La%20loi%20de%20Faraday%20dit,%3D%20%E2%88%92%20d%CE%A6%20%2F%20dt</w:t>
      </w:r>
      <w:r w:rsidR="00C22EBC">
        <w:rPr>
          <w:rStyle w:val="Lienhypertexte"/>
        </w:rPr>
        <w:fldChar w:fldCharType="end"/>
      </w:r>
      <w:r w:rsidRPr="002A5F51">
        <w:t>).</w:t>
      </w:r>
    </w:p>
    <w:p w:rsidR="008053B5" w:rsidRDefault="008053B5" w:rsidP="008053B5">
      <w:r>
        <w:t>Effet de peau </w:t>
      </w:r>
      <w:proofErr w:type="gramStart"/>
      <w:r>
        <w:t>:</w:t>
      </w:r>
      <w:proofErr w:type="spellStart"/>
      <w:proofErr w:type="gramEnd"/>
      <w:r w:rsidR="00C22EBC">
        <w:fldChar w:fldCharType="begin"/>
      </w:r>
      <w:r w:rsidR="00C22EBC">
        <w:instrText xml:space="preserve"> HYPERLINK "https://en.wikipedia.org/wiki/Skin_effect" </w:instrText>
      </w:r>
      <w:r w:rsidR="00C22EBC">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sidR="00C22EBC">
        <w:rPr>
          <w:rStyle w:val="Lienhypertexte"/>
        </w:rPr>
        <w:fldChar w:fldCharType="end"/>
      </w:r>
    </w:p>
    <w:p w:rsidR="008053B5" w:rsidRDefault="008053B5" w:rsidP="008053B5">
      <w:r>
        <w:t>Capteur à courant de Foucault </w:t>
      </w:r>
      <w:proofErr w:type="gramStart"/>
      <w:r>
        <w:t>:</w:t>
      </w:r>
      <w:proofErr w:type="gramEnd"/>
      <w:r w:rsidR="00C22EBC">
        <w:fldChar w:fldCharType="begin"/>
      </w:r>
      <w:r w:rsidR="00C22EBC">
        <w:instrText xml:space="preserve"> HYPERLINK "https://www.pm-instrumentation.com/mesure-par-courant-de-foucault" </w:instrText>
      </w:r>
      <w:r w:rsidR="00C22EBC">
        <w:fldChar w:fldCharType="separate"/>
      </w:r>
      <w:r w:rsidRPr="00D11FF2">
        <w:rPr>
          <w:rStyle w:val="Lienhypertexte"/>
        </w:rPr>
        <w:t>https://www.pm-instrumentation.com/mesure-par-courant-de-foucault</w:t>
      </w:r>
      <w:r w:rsidR="00C22EBC">
        <w:rPr>
          <w:rStyle w:val="Lienhypertexte"/>
        </w:rPr>
        <w:fldChar w:fldCharType="end"/>
      </w:r>
    </w:p>
    <w:p w:rsidR="008053B5" w:rsidRDefault="008053B5" w:rsidP="008053B5">
      <w:r>
        <w:t>Conductibilité électrique </w:t>
      </w:r>
      <w:proofErr w:type="gramStart"/>
      <w:r>
        <w:t>:</w:t>
      </w:r>
      <w:proofErr w:type="gramEnd"/>
      <w:r w:rsidR="00C22EBC">
        <w:fldChar w:fldCharType="begin"/>
      </w:r>
      <w:r w:rsidR="00C22EBC">
        <w:instrText xml:space="preserve"> HYPERLINK "https://www.alloprof.qc.ca/fr/eleves/bv/sciences/la-conductibilite-electrique-s1021" </w:instrText>
      </w:r>
      <w:r w:rsidR="00C22EBC">
        <w:fldChar w:fldCharType="separate"/>
      </w:r>
      <w:r w:rsidRPr="00D11FF2">
        <w:rPr>
          <w:rStyle w:val="Lienhypertexte"/>
        </w:rPr>
        <w:t>https://www.alloprof.qc.ca/fr/eleves/bv/sciences/la-conductibilite-electrique-s1021</w:t>
      </w:r>
      <w:r w:rsidR="00C22EBC">
        <w:rPr>
          <w:rStyle w:val="Lienhypertexte"/>
        </w:rPr>
        <w:fldChar w:fldCharType="end"/>
      </w:r>
    </w:p>
    <w:p w:rsidR="008053B5" w:rsidRDefault="008053B5" w:rsidP="008053B5">
      <w:r>
        <w:t>PSM1735 :</w:t>
      </w:r>
      <w:hyperlink r:id="rId35"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rsidR="00C22EBC">
        <w:fldChar w:fldCharType="begin"/>
      </w:r>
      <w:r w:rsidR="00C22EBC">
        <w:instrText xml:space="preserve"> HYPERLINK "https://www.newtons4th.com/media/docs/D000189-PSM1700-1735-Brochure.pdf" </w:instrText>
      </w:r>
      <w:r w:rsidR="00C22EBC">
        <w:fldChar w:fldCharType="separate"/>
      </w:r>
      <w:r w:rsidRPr="00D11FF2">
        <w:rPr>
          <w:rStyle w:val="Lienhypertexte"/>
        </w:rPr>
        <w:t>https://www.newtons4th.com/media/docs/D000189-PSM1700-1735-Brochure.pdf</w:t>
      </w:r>
      <w:r w:rsidR="00C22EBC">
        <w:rPr>
          <w:rStyle w:val="Lienhypertexte"/>
        </w:rPr>
        <w:fldChar w:fldCharType="end"/>
      </w:r>
    </w:p>
    <w:p w:rsidR="008053B5" w:rsidRDefault="008053B5" w:rsidP="008053B5">
      <w:r>
        <w:t>IAI </w:t>
      </w:r>
      <w:proofErr w:type="gramStart"/>
      <w:r>
        <w:t>:</w:t>
      </w:r>
      <w:proofErr w:type="gramEnd"/>
      <w:r w:rsidR="00C22EBC">
        <w:fldChar w:fldCharType="begin"/>
      </w:r>
      <w:r w:rsidR="00C22EBC">
        <w:instrText xml:space="preserve"> HYPERLINK "https://www.newtons4th.com/products/impedance-analyzers/impedance-analysis-interface/" </w:instrText>
      </w:r>
      <w:r w:rsidR="00C22EBC">
        <w:fldChar w:fldCharType="separate"/>
      </w:r>
      <w:r w:rsidRPr="00D11FF2">
        <w:rPr>
          <w:rStyle w:val="Lienhypertexte"/>
        </w:rPr>
        <w:t>https://www.newtons4th.com/products/impedance-analyzers/impedance-analysis-interface/</w:t>
      </w:r>
      <w:r w:rsidR="00C22EBC">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rsidR="00C22EBC">
        <w:fldChar w:fldCharType="begin"/>
      </w:r>
      <w:r w:rsidR="00C22EBC">
        <w:instrText xml:space="preserve"> HYPERLINK "https://www.we-online.com/components/products/datasheet/760308101220.pdf" </w:instrText>
      </w:r>
      <w:r w:rsidR="00C22EBC">
        <w:fldChar w:fldCharType="separate"/>
      </w:r>
      <w:r w:rsidRPr="00D11FF2">
        <w:rPr>
          <w:rStyle w:val="Lienhypertexte"/>
        </w:rPr>
        <w:t>https://www.we-online.com/components/products/datasheet/760308101220.pdf</w:t>
      </w:r>
      <w:r w:rsidR="00C22EBC">
        <w:rPr>
          <w:rStyle w:val="Lienhypertexte"/>
        </w:rPr>
        <w:fldChar w:fldCharType="end"/>
      </w:r>
    </w:p>
    <w:p w:rsidR="008053B5" w:rsidRDefault="008053B5" w:rsidP="008053B5">
      <w:r>
        <w:t>Courbe sur Matlab </w:t>
      </w:r>
      <w:proofErr w:type="gramStart"/>
      <w:r>
        <w:t>:</w:t>
      </w:r>
      <w:proofErr w:type="gramEnd"/>
      <w:r w:rsidR="00C22EBC">
        <w:fldChar w:fldCharType="begin"/>
      </w:r>
      <w:r w:rsidR="00C22EBC">
        <w:instrText xml:space="preserve"> HYPERLINK "https://fr.mathworks.com/help/matlab/learn_matlab/basic-plotting-functions.html" </w:instrText>
      </w:r>
      <w:r w:rsidR="00C22EBC">
        <w:fldChar w:fldCharType="separate"/>
      </w:r>
      <w:r w:rsidRPr="00D61D39">
        <w:rPr>
          <w:rStyle w:val="Lienhypertexte"/>
        </w:rPr>
        <w:t>https://fr.mathworks.com/help/matlab/learn_matlab/basic-plotting-functions.html</w:t>
      </w:r>
      <w:r w:rsidR="00C22EBC">
        <w:rPr>
          <w:rStyle w:val="Lienhypertexte"/>
        </w:rPr>
        <w:fldChar w:fldCharType="end"/>
      </w:r>
    </w:p>
    <w:p w:rsidR="008053B5" w:rsidRDefault="008053B5" w:rsidP="008053B5">
      <w:r>
        <w:t>Rs232 schéma Matlab </w:t>
      </w:r>
      <w:proofErr w:type="gramStart"/>
      <w:r>
        <w:t>:</w:t>
      </w:r>
      <w:proofErr w:type="gramEnd"/>
      <w:r w:rsidR="00C22EBC">
        <w:fldChar w:fldCharType="begin"/>
      </w:r>
      <w:r w:rsidR="00C22EBC">
        <w:instrText xml:space="preserve"> HYPERLINK "https://fr.mathworks.com/help/slrealtime/io_ref/serial-drivers.html" </w:instrText>
      </w:r>
      <w:r w:rsidR="00C22EBC">
        <w:fldChar w:fldCharType="separate"/>
      </w:r>
      <w:r w:rsidRPr="00AF0849">
        <w:rPr>
          <w:rStyle w:val="Lienhypertexte"/>
        </w:rPr>
        <w:t>https://fr.mathworks.com/help/slrealtime/io_ref/serial-drivers.html</w:t>
      </w:r>
      <w:r w:rsidR="00C22EBC">
        <w:rPr>
          <w:rStyle w:val="Lienhypertexte"/>
        </w:rPr>
        <w:fldChar w:fldCharType="end"/>
      </w:r>
    </w:p>
    <w:p w:rsidR="008053B5" w:rsidRDefault="008053B5" w:rsidP="008053B5">
      <w:r>
        <w:t>Mesure </w:t>
      </w:r>
      <w:proofErr w:type="gramStart"/>
      <w:r>
        <w:t>:</w:t>
      </w:r>
      <w:proofErr w:type="gramEnd"/>
      <w:r w:rsidR="00C22EBC">
        <w:fldChar w:fldCharType="begin"/>
      </w:r>
      <w:r w:rsidR="00C22EBC">
        <w:instrText xml:space="preserve"> HYPERLINK "https://www.helmut-fischer.com/fr/techniques/induction-magnetique" \l ":~:text=La%20sonde%20de%20mesure%20%C3%A0,p%C3%B4les%20du%20noyau%20de%20fer" </w:instrText>
      </w:r>
      <w:r w:rsidR="00C22EBC">
        <w:fldChar w:fldCharType="separate"/>
      </w:r>
      <w:r w:rsidRPr="00AF0849">
        <w:rPr>
          <w:rStyle w:val="Lienhypertexte"/>
        </w:rPr>
        <w:t>https://www.helmut-fischer.com/fr/techniques/induction-magnetique#:~:text=La%20sonde%20de%20mesure%20%C3%A0,p%C3%B4les%20du%20noyau%20de%20fer</w:t>
      </w:r>
      <w:r w:rsidR="00C22EBC">
        <w:rPr>
          <w:rStyle w:val="Lienhypertexte"/>
        </w:rPr>
        <w:fldChar w:fldCharType="end"/>
      </w:r>
      <w:r w:rsidRPr="002D13BD">
        <w:t>.</w:t>
      </w:r>
    </w:p>
    <w:p w:rsidR="008053B5" w:rsidRDefault="008053B5" w:rsidP="008053B5">
      <w:r>
        <w:lastRenderedPageBreak/>
        <w:t>Détection métaux </w:t>
      </w:r>
      <w:proofErr w:type="gramStart"/>
      <w:r>
        <w:t>:</w:t>
      </w:r>
      <w:proofErr w:type="gramEnd"/>
      <w:r w:rsidR="00C22EBC">
        <w:fldChar w:fldCharType="begin"/>
      </w:r>
      <w:r w:rsidR="00C22EBC">
        <w:instrText xml:space="preserve"> HYPERLINK "https://megalocators.com/fr/quest-ce-que-linduction-dimpulsions-pi-dans-la-detection-de-metaux-et-quand-utiliser-le-detecteur-de-metaux-pi/" </w:instrText>
      </w:r>
      <w:r w:rsidR="00C22EBC">
        <w:fldChar w:fldCharType="separate"/>
      </w:r>
      <w:r w:rsidRPr="00AF0849">
        <w:rPr>
          <w:rStyle w:val="Lienhypertexte"/>
        </w:rPr>
        <w:t>https://megalocators.com/fr/quest-ce-que-linduction-dimpulsions-pi-dans-la-detection-de-metaux-et-quand-utiliser-le-detecteur-de-metaux-pi/</w:t>
      </w:r>
      <w:r w:rsidR="00C22EBC">
        <w:rPr>
          <w:rStyle w:val="Lienhypertexte"/>
        </w:rPr>
        <w:fldChar w:fldCharType="end"/>
      </w:r>
    </w:p>
    <w:p w:rsidR="008053B5" w:rsidRDefault="009763F0" w:rsidP="008053B5">
      <w:hyperlink r:id="rId36"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7"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63F0" w:rsidRDefault="009763F0" w:rsidP="00122503">
      <w:pPr>
        <w:spacing w:after="0" w:line="240" w:lineRule="auto"/>
      </w:pPr>
      <w:r>
        <w:separator/>
      </w:r>
    </w:p>
  </w:endnote>
  <w:endnote w:type="continuationSeparator" w:id="0">
    <w:p w:rsidR="009763F0" w:rsidRDefault="009763F0"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0D9" w:rsidRDefault="005D10D9">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4B196D">
      <w:rPr>
        <w:noProof/>
        <w:color w:val="E0C07F" w:themeColor="text2" w:themeShade="BF"/>
        <w:sz w:val="24"/>
        <w:szCs w:val="24"/>
      </w:rPr>
      <w:t>21</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4B196D">
      <w:rPr>
        <w:noProof/>
        <w:color w:val="E0C07F" w:themeColor="text2" w:themeShade="BF"/>
        <w:sz w:val="24"/>
        <w:szCs w:val="24"/>
      </w:rPr>
      <w:t>21</w:t>
    </w:r>
    <w:r>
      <w:rPr>
        <w:color w:val="E0C07F" w:themeColor="text2" w:themeShade="BF"/>
        <w:sz w:val="24"/>
        <w:szCs w:val="24"/>
      </w:rPr>
      <w:fldChar w:fldCharType="end"/>
    </w:r>
  </w:p>
  <w:p w:rsidR="005D10D9" w:rsidRDefault="005D10D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63F0" w:rsidRDefault="009763F0" w:rsidP="00122503">
      <w:pPr>
        <w:spacing w:after="0" w:line="240" w:lineRule="auto"/>
      </w:pPr>
      <w:r>
        <w:separator/>
      </w:r>
    </w:p>
  </w:footnote>
  <w:footnote w:type="continuationSeparator" w:id="0">
    <w:p w:rsidR="009763F0" w:rsidRDefault="009763F0"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0C01"/>
    <w:rsid w:val="00031856"/>
    <w:rsid w:val="00031B76"/>
    <w:rsid w:val="000411D3"/>
    <w:rsid w:val="0004214A"/>
    <w:rsid w:val="0008398B"/>
    <w:rsid w:val="000B6861"/>
    <w:rsid w:val="000F7AD5"/>
    <w:rsid w:val="00100927"/>
    <w:rsid w:val="00122503"/>
    <w:rsid w:val="00134130"/>
    <w:rsid w:val="001347D1"/>
    <w:rsid w:val="00154AB9"/>
    <w:rsid w:val="00155735"/>
    <w:rsid w:val="00163569"/>
    <w:rsid w:val="0017130E"/>
    <w:rsid w:val="001821A4"/>
    <w:rsid w:val="0018315A"/>
    <w:rsid w:val="0018642B"/>
    <w:rsid w:val="001A351F"/>
    <w:rsid w:val="001A6509"/>
    <w:rsid w:val="001D19E8"/>
    <w:rsid w:val="001D55E1"/>
    <w:rsid w:val="001E16BE"/>
    <w:rsid w:val="001F5DC0"/>
    <w:rsid w:val="00215DF0"/>
    <w:rsid w:val="00245B90"/>
    <w:rsid w:val="00253389"/>
    <w:rsid w:val="00253DF9"/>
    <w:rsid w:val="0026203D"/>
    <w:rsid w:val="00266655"/>
    <w:rsid w:val="002709BE"/>
    <w:rsid w:val="00270C53"/>
    <w:rsid w:val="002774F5"/>
    <w:rsid w:val="00284FF9"/>
    <w:rsid w:val="002917F4"/>
    <w:rsid w:val="00292EF8"/>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52B85"/>
    <w:rsid w:val="00372A87"/>
    <w:rsid w:val="00386A1C"/>
    <w:rsid w:val="00396E89"/>
    <w:rsid w:val="003A4454"/>
    <w:rsid w:val="003C62EA"/>
    <w:rsid w:val="003D0C77"/>
    <w:rsid w:val="003F1156"/>
    <w:rsid w:val="003F2E41"/>
    <w:rsid w:val="003F43EF"/>
    <w:rsid w:val="003F7DF2"/>
    <w:rsid w:val="00400A13"/>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B196D"/>
    <w:rsid w:val="004B230D"/>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A7826"/>
    <w:rsid w:val="005B0EC5"/>
    <w:rsid w:val="005B7DAE"/>
    <w:rsid w:val="005B7FF6"/>
    <w:rsid w:val="005D10D9"/>
    <w:rsid w:val="005E217C"/>
    <w:rsid w:val="005E70F3"/>
    <w:rsid w:val="005F316A"/>
    <w:rsid w:val="005F66CB"/>
    <w:rsid w:val="00606245"/>
    <w:rsid w:val="00607939"/>
    <w:rsid w:val="00612796"/>
    <w:rsid w:val="00612DD6"/>
    <w:rsid w:val="0061350C"/>
    <w:rsid w:val="00614ED5"/>
    <w:rsid w:val="0061744D"/>
    <w:rsid w:val="00632E7A"/>
    <w:rsid w:val="00634370"/>
    <w:rsid w:val="00635487"/>
    <w:rsid w:val="00635B51"/>
    <w:rsid w:val="00646522"/>
    <w:rsid w:val="00646D01"/>
    <w:rsid w:val="00647054"/>
    <w:rsid w:val="0064776D"/>
    <w:rsid w:val="00651524"/>
    <w:rsid w:val="00670366"/>
    <w:rsid w:val="0067493A"/>
    <w:rsid w:val="0067673E"/>
    <w:rsid w:val="006859DD"/>
    <w:rsid w:val="00685E96"/>
    <w:rsid w:val="00691913"/>
    <w:rsid w:val="00691B45"/>
    <w:rsid w:val="00693796"/>
    <w:rsid w:val="006A210C"/>
    <w:rsid w:val="006A3CA0"/>
    <w:rsid w:val="006A5961"/>
    <w:rsid w:val="006B06C0"/>
    <w:rsid w:val="006B1521"/>
    <w:rsid w:val="006B268E"/>
    <w:rsid w:val="006D2B72"/>
    <w:rsid w:val="006D3645"/>
    <w:rsid w:val="006E3C02"/>
    <w:rsid w:val="006E3CF5"/>
    <w:rsid w:val="006E5FD6"/>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112C3"/>
    <w:rsid w:val="008200FE"/>
    <w:rsid w:val="0083430A"/>
    <w:rsid w:val="00834C11"/>
    <w:rsid w:val="008371A9"/>
    <w:rsid w:val="00845C85"/>
    <w:rsid w:val="00852E97"/>
    <w:rsid w:val="00852EE0"/>
    <w:rsid w:val="00861000"/>
    <w:rsid w:val="0086165B"/>
    <w:rsid w:val="008841E9"/>
    <w:rsid w:val="0088583A"/>
    <w:rsid w:val="008A1DB8"/>
    <w:rsid w:val="008A516F"/>
    <w:rsid w:val="008B12DC"/>
    <w:rsid w:val="008B1471"/>
    <w:rsid w:val="008B3F27"/>
    <w:rsid w:val="008B5297"/>
    <w:rsid w:val="008C463E"/>
    <w:rsid w:val="008C5AEA"/>
    <w:rsid w:val="008C79DF"/>
    <w:rsid w:val="008D074B"/>
    <w:rsid w:val="008D4ACC"/>
    <w:rsid w:val="008D5601"/>
    <w:rsid w:val="008D64D9"/>
    <w:rsid w:val="008D7AE9"/>
    <w:rsid w:val="008E6910"/>
    <w:rsid w:val="008F1599"/>
    <w:rsid w:val="008F26EE"/>
    <w:rsid w:val="00902AB1"/>
    <w:rsid w:val="0090343F"/>
    <w:rsid w:val="009066F5"/>
    <w:rsid w:val="009123A1"/>
    <w:rsid w:val="009141DB"/>
    <w:rsid w:val="0092430B"/>
    <w:rsid w:val="00934A35"/>
    <w:rsid w:val="0095581D"/>
    <w:rsid w:val="00955F74"/>
    <w:rsid w:val="00965150"/>
    <w:rsid w:val="009716AE"/>
    <w:rsid w:val="009754A9"/>
    <w:rsid w:val="009758E1"/>
    <w:rsid w:val="009763F0"/>
    <w:rsid w:val="00983240"/>
    <w:rsid w:val="009876F8"/>
    <w:rsid w:val="009929DE"/>
    <w:rsid w:val="00995ED3"/>
    <w:rsid w:val="009A2F61"/>
    <w:rsid w:val="009B0165"/>
    <w:rsid w:val="009B588F"/>
    <w:rsid w:val="009B614A"/>
    <w:rsid w:val="009B7B9D"/>
    <w:rsid w:val="009C5687"/>
    <w:rsid w:val="009C6418"/>
    <w:rsid w:val="009C6A96"/>
    <w:rsid w:val="009E5000"/>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16A78"/>
    <w:rsid w:val="00B24765"/>
    <w:rsid w:val="00B27F88"/>
    <w:rsid w:val="00B32281"/>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17B65"/>
    <w:rsid w:val="00C21909"/>
    <w:rsid w:val="00C22EBC"/>
    <w:rsid w:val="00C3132C"/>
    <w:rsid w:val="00C3158C"/>
    <w:rsid w:val="00C329EE"/>
    <w:rsid w:val="00C40A2E"/>
    <w:rsid w:val="00C60E76"/>
    <w:rsid w:val="00C614F7"/>
    <w:rsid w:val="00C61D61"/>
    <w:rsid w:val="00C708EF"/>
    <w:rsid w:val="00C72E46"/>
    <w:rsid w:val="00C8622B"/>
    <w:rsid w:val="00C90599"/>
    <w:rsid w:val="00CA2DC2"/>
    <w:rsid w:val="00CA5DC7"/>
    <w:rsid w:val="00CB564F"/>
    <w:rsid w:val="00CC0CD7"/>
    <w:rsid w:val="00CC5E27"/>
    <w:rsid w:val="00CD23EC"/>
    <w:rsid w:val="00CD31D2"/>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3754E"/>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5BA"/>
    <w:rsid w:val="00EE36C3"/>
    <w:rsid w:val="00EE417E"/>
    <w:rsid w:val="00EF566C"/>
    <w:rsid w:val="00F0094C"/>
    <w:rsid w:val="00F04B31"/>
    <w:rsid w:val="00F20C7F"/>
    <w:rsid w:val="00F34287"/>
    <w:rsid w:val="00F37E28"/>
    <w:rsid w:val="00F47029"/>
    <w:rsid w:val="00F51794"/>
    <w:rsid w:val="00F65BF9"/>
    <w:rsid w:val="00F660A6"/>
    <w:rsid w:val="00F7221B"/>
    <w:rsid w:val="00F82361"/>
    <w:rsid w:val="00F90DBC"/>
    <w:rsid w:val="00F97F21"/>
    <w:rsid w:val="00FA271F"/>
    <w:rsid w:val="00FA3C20"/>
    <w:rsid w:val="00FC705B"/>
    <w:rsid w:val="00FD6084"/>
    <w:rsid w:val="00FE59B8"/>
    <w:rsid w:val="00FE643E"/>
    <w:rsid w:val="00FF0600"/>
    <w:rsid w:val="00FF5C4A"/>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00239264">
      <w:bodyDiv w:val="1"/>
      <w:marLeft w:val="0"/>
      <w:marRight w:val="0"/>
      <w:marTop w:val="0"/>
      <w:marBottom w:val="0"/>
      <w:divBdr>
        <w:top w:val="none" w:sz="0" w:space="0" w:color="auto"/>
        <w:left w:val="none" w:sz="0" w:space="0" w:color="auto"/>
        <w:bottom w:val="none" w:sz="0" w:space="0" w:color="auto"/>
        <w:right w:val="none" w:sz="0" w:space="0" w:color="auto"/>
      </w:divBdr>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saintcharles-laprovidence.basecdi.fr/pmb/Dossier_portail/TPE_fiches_methode/comment_faire_une_sitographie.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moineau-instruments.com/content/19-detecteur-de-metaux"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hyperlink" Target="https://www.newtons4th.com/products/frequency-response-analyzers/psm1735-frequency-response-analyzer/"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D3F836-CA98-4ADA-8E81-06A9FF214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22</Pages>
  <Words>3856</Words>
  <Characters>21214</Characters>
  <Application>Microsoft Office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25020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41</cp:revision>
  <dcterms:created xsi:type="dcterms:W3CDTF">2023-11-23T09:27:00Z</dcterms:created>
  <dcterms:modified xsi:type="dcterms:W3CDTF">2023-12-21T10:40:00Z</dcterms:modified>
</cp:coreProperties>
</file>