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b/>
          <w:bCs/>
          <w:color w:val="999999"/>
          <w:sz w:val="16"/>
          <w:szCs w:val="16"/>
        </w:rPr>
        <w:t xml:space="preserve">PAGE 1 — PRINT THIS SIDE FIRST (Outside of the Pamphlet)</w:t>
      </w:r>
    </w:p>
    <w:tbl>
      <w:tblPr>
        <w:tblW w:type="dxa" w:w="15840"/>
        <w:tblBorders>
          <w:top w:val="single" w:color="auto" w:sz="4"/>
          <w:left w:val="single" w:color="auto" w:sz="4"/>
          <w:bottom w:val="single" w:color="auto" w:sz="4"/>
          <w:right w:val="single" w:color="auto" w:sz="4"/>
          <w:insideH w:val="single" w:color="auto" w:sz="4"/>
          <w:insideV w:val="single" w:color="auto" w:sz="4"/>
        </w:tblBorders>
      </w:tblPr>
      <w:tblGrid>
        <w:gridCol w:w="5280"/>
        <w:gridCol w:w="5280"/>
        <w:gridCol w:w="5280"/>
      </w:tblGrid>
      <w:tr>
        <w:trPr>
          <w:cantSplit/>
        </w:trPr>
        <w:tc>
          <w:tcPr>
            <w:tcW w:type="dxa" w:w="5280"/>
            <w:tcBorders>
              <w:top w:val="none" w:color="FFFFFF" w:sz="0"/>
              <w:left w:val="none" w:color="FFFFFF" w:sz="0"/>
              <w:bottom w:val="none" w:color="FFFFFF" w:sz="0"/>
              <w:right w:val="dashed" w:color="999999" w:sz="6"/>
            </w:tcBorders>
            <w:shd w:fill="F7F5EF" w:val="clear"/>
            <w:tcMar>
              <w:top w:type="dxa" w:w="260"/>
              <w:left w:type="dxa" w:w="260"/>
              <w:bottom w:type="dxa" w:w="260"/>
              <w:right w:type="dxa" w:w="260"/>
            </w:tcMar>
            <w:vAlign w:val="top"/>
          </w:tcPr>
          <w:p>
            <w:pPr>
              <w:spacing w:after="120"/>
            </w:pPr>
            <w:r>
              <w:rPr>
                <w:b/>
                <w:bCs/>
                <w:color w:val="888888"/>
                <w:spacing w:val="20"/>
                <w:sz w:val="14"/>
                <w:szCs w:val="14"/>
              </w:rPr>
              <w:t xml:space="preserve">PANEL 1 · BACK COVER</w:t>
            </w:r>
          </w:p>
          <w:p>
            <w:pPr>
              <w:spacing w:after="160" w:before="40"/>
            </w:pPr>
            <w:r>
              <w:rPr>
                <w:rFonts w:ascii="Calibri" w:cs="Calibri" w:eastAsia="Calibri" w:hAnsi="Calibri"/>
                <w:b/>
                <w:bCs/>
                <w:color w:val="1B3A57"/>
                <w:sz w:val="30"/>
                <w:szCs w:val="30"/>
              </w:rPr>
              <w:t xml:space="preserve">Get Help or Report</w:t>
            </w:r>
          </w:p>
          <w:p>
            <w:pPr>
              <w:pBdr>
                <w:bottom w:val="single" w:color="D9D9D9" w:sz="6"/>
              </w:pBdr>
              <w:spacing w:after="160" w:before="60"/>
            </w:pPr>
            <w:r>
              <w:t xml:space="preserve"/>
            </w:r>
          </w:p>
          <w:p>
            <w:pPr>
              <w:spacing w:after="100" w:before="200"/>
            </w:pPr>
            <w:r>
              <w:rPr>
                <w:rFonts w:ascii="Calibri" w:cs="Calibri" w:eastAsia="Calibri" w:hAnsi="Calibri"/>
                <w:b/>
                <w:bCs/>
                <w:color w:val="2E5E4E"/>
                <w:sz w:val="22"/>
                <w:szCs w:val="22"/>
              </w:rPr>
              <w:t xml:space="preserve">Seeking Treatment?</w:t>
            </w:r>
          </w:p>
          <w:p>
            <w:pPr>
              <w:spacing w:after="140"/>
            </w:pPr>
            <w:r>
              <w:rPr>
                <w:b w:val="false"/>
                <w:bCs w:val="false"/>
                <w:i w:val="false"/>
                <w:iCs w:val="false"/>
                <w:color w:val="222222"/>
                <w:sz w:val="19"/>
                <w:szCs w:val="19"/>
              </w:rPr>
              <w:t xml:space="preserve">Drug dependence is treated by law as a health problem, not only a crime. A drug dependent — or a person who only used drugs — may voluntarily apply for treatment and rehabilitation under Section 54 of R.A. 9165, before any arrest.</w:t>
            </w:r>
          </w:p>
          <w:p>
            <w:pPr>
              <w:spacing w:after="140"/>
            </w:pPr>
            <w:r>
              <w:rPr>
                <w:b/>
                <w:bCs/>
                <w:i w:val="false"/>
                <w:iCs w:val="false"/>
                <w:color w:val="222222"/>
                <w:sz w:val="19"/>
                <w:szCs w:val="19"/>
              </w:rPr>
              <w:t xml:space="preserve">Apply personally, or through a parent, spouse, guardian, or relative, at:</w:t>
            </w:r>
          </w:p>
          <w:p>
            <w:pPr>
              <w:spacing w:after="90"/>
              <w:ind w:left="200"/>
            </w:pPr>
            <w:r>
              <w:rPr>
                <w:b/>
                <w:bCs/>
                <w:color w:val="B8860B"/>
                <w:sz w:val="19"/>
                <w:szCs w:val="19"/>
              </w:rPr>
              <w:t xml:space="preserve">•  </w:t>
            </w:r>
            <w:r>
              <w:rPr>
                <w:color w:val="222222"/>
                <w:sz w:val="19"/>
                <w:szCs w:val="19"/>
              </w:rPr>
              <w:t xml:space="preserve">Your Barangay Health Station / Rural Health Unit</w:t>
            </w:r>
          </w:p>
          <w:p>
            <w:pPr>
              <w:spacing w:after="90"/>
              <w:ind w:left="200"/>
            </w:pPr>
            <w:r>
              <w:rPr>
                <w:b/>
                <w:bCs/>
                <w:color w:val="B8860B"/>
                <w:sz w:val="19"/>
                <w:szCs w:val="19"/>
              </w:rPr>
              <w:t xml:space="preserve">•  </w:t>
            </w:r>
            <w:r>
              <w:rPr>
                <w:color w:val="222222"/>
                <w:sz w:val="19"/>
                <w:szCs w:val="19"/>
              </w:rPr>
              <w:t xml:space="preserve">The Dangerous Drugs Board (DDB) or its representative</w:t>
            </w:r>
          </w:p>
          <w:p>
            <w:pPr>
              <w:spacing w:after="90"/>
              <w:ind w:left="200"/>
            </w:pPr>
            <w:r>
              <w:rPr>
                <w:b/>
                <w:bCs/>
                <w:color w:val="B8860B"/>
                <w:sz w:val="19"/>
                <w:szCs w:val="19"/>
              </w:rPr>
              <w:t xml:space="preserve">•  </w:t>
            </w:r>
            <w:r>
              <w:rPr>
                <w:color w:val="222222"/>
                <w:sz w:val="19"/>
                <w:szCs w:val="19"/>
              </w:rPr>
              <w:t xml:space="preserve">____________________________ (local ADAC contact)</w:t>
            </w:r>
          </w:p>
          <w:p>
            <w:pPr>
              <w:spacing w:after="100" w:before="200"/>
            </w:pPr>
            <w:r>
              <w:rPr>
                <w:rFonts w:ascii="Calibri" w:cs="Calibri" w:eastAsia="Calibri" w:hAnsi="Calibri"/>
                <w:b/>
                <w:bCs/>
                <w:color w:val="9E2A2B"/>
                <w:sz w:val="22"/>
                <w:szCs w:val="22"/>
              </w:rPr>
              <w:t xml:space="preserve">Report Drug Activity</w:t>
            </w:r>
          </w:p>
          <w:p>
            <w:pPr>
              <w:spacing w:after="140"/>
            </w:pPr>
            <w:r>
              <w:rPr>
                <w:b w:val="false"/>
                <w:bCs w:val="false"/>
                <w:i w:val="false"/>
                <w:iCs w:val="false"/>
                <w:color w:val="222222"/>
                <w:sz w:val="19"/>
                <w:szCs w:val="19"/>
              </w:rPr>
              <w:t xml:space="preserve">Report only through lawful channels. Do not confront suspected persons yourself.</w:t>
            </w:r>
          </w:p>
          <w:p>
            <w:pPr>
              <w:spacing w:after="90"/>
              <w:ind w:left="200"/>
            </w:pPr>
            <w:r>
              <w:rPr>
                <w:b/>
                <w:bCs/>
                <w:color w:val="B8860B"/>
                <w:sz w:val="19"/>
                <w:szCs w:val="19"/>
              </w:rPr>
              <w:t xml:space="preserve">•  </w:t>
            </w:r>
            <w:r>
              <w:rPr>
                <w:color w:val="222222"/>
                <w:sz w:val="19"/>
                <w:szCs w:val="19"/>
              </w:rPr>
              <w:t xml:space="preserve">Philippine National Police — 117 or your local station</w:t>
            </w:r>
          </w:p>
          <w:p>
            <w:pPr>
              <w:spacing w:after="90"/>
              <w:ind w:left="200"/>
            </w:pPr>
            <w:r>
              <w:rPr>
                <w:b/>
                <w:bCs/>
                <w:color w:val="B8860B"/>
                <w:sz w:val="19"/>
                <w:szCs w:val="19"/>
              </w:rPr>
              <w:t xml:space="preserve">•  </w:t>
            </w:r>
            <w:r>
              <w:rPr>
                <w:color w:val="222222"/>
                <w:sz w:val="19"/>
                <w:szCs w:val="19"/>
              </w:rPr>
              <w:t xml:space="preserve">PDEA — official hotline / www.pdea.gov.ph</w:t>
            </w:r>
          </w:p>
          <w:p>
            <w:pPr>
              <w:spacing w:after="90"/>
              <w:ind w:left="200"/>
            </w:pPr>
            <w:r>
              <w:rPr>
                <w:b/>
                <w:bCs/>
                <w:color w:val="B8860B"/>
                <w:sz w:val="19"/>
                <w:szCs w:val="19"/>
              </w:rPr>
              <w:t xml:space="preserve">•  </w:t>
            </w:r>
            <w:r>
              <w:rPr>
                <w:color w:val="222222"/>
                <w:sz w:val="19"/>
                <w:szCs w:val="19"/>
              </w:rPr>
              <w:t xml:space="preserve">Barangay ADAC / Barangay Tanod: ____________________</w:t>
            </w:r>
          </w:p>
          <w:p>
            <w:pPr>
              <w:spacing w:after="140"/>
            </w:pPr>
            <w:r>
              <w:rPr>
                <w:b w:val="false"/>
                <w:bCs w:val="false"/>
                <w:i/>
                <w:iCs/>
                <w:color w:val="222222"/>
                <w:sz w:val="19"/>
                <w:szCs w:val="19"/>
              </w:rPr>
              <w:t xml:space="preserve">All reports may be made confidentially.</w:t>
            </w:r>
          </w:p>
          <w:p>
            <w:pPr>
              <w:spacing w:before="300"/>
            </w:pPr>
            <w:r>
              <w:rPr>
                <w:color w:val="555555"/>
                <w:sz w:val="16"/>
                <w:szCs w:val="16"/>
              </w:rPr>
              <w:t xml:space="preserve">Prepared by: </w:t>
            </w:r>
            <w:r>
              <w:rPr>
                <w:i/>
                <w:iCs/>
                <w:color w:val="555555"/>
                <w:sz w:val="16"/>
                <w:szCs w:val="16"/>
              </w:rPr>
              <w:t xml:space="preserve">[Your Barangay] Anti-Drug Abuse Council (ADAC)</w:t>
            </w:r>
          </w:p>
          <w:p>
            <w:r>
              <w:rPr>
                <w:i/>
                <w:iCs/>
                <w:color w:val="777777"/>
                <w:sz w:val="15"/>
                <w:szCs w:val="15"/>
              </w:rPr>
              <w:t xml:space="preserve">This material is for general public information only and is not legal advice.</w:t>
            </w:r>
          </w:p>
        </w:tc>
        <w:tc>
          <w:tcPr>
            <w:tcW w:type="dxa" w:w="5280"/>
            <w:tcBorders>
              <w:top w:val="none" w:color="FFFFFF" w:sz="0"/>
              <w:left w:val="none" w:color="FFFFFF" w:sz="0"/>
              <w:bottom w:val="none" w:color="FFFFFF" w:sz="0"/>
              <w:right w:val="dashed" w:color="999999" w:sz="6"/>
            </w:tcBorders>
            <w:tcMar>
              <w:top w:type="dxa" w:w="260"/>
              <w:left w:type="dxa" w:w="260"/>
              <w:bottom w:type="dxa" w:w="260"/>
              <w:right w:type="dxa" w:w="260"/>
            </w:tcMar>
            <w:vAlign w:val="top"/>
          </w:tcPr>
          <w:p>
            <w:pPr>
              <w:spacing w:after="120"/>
            </w:pPr>
            <w:r>
              <w:rPr>
                <w:b/>
                <w:bCs/>
                <w:color w:val="888888"/>
                <w:spacing w:val="20"/>
                <w:sz w:val="14"/>
                <w:szCs w:val="14"/>
              </w:rPr>
              <w:t xml:space="preserve">PANEL 2 · INSIDE FLAP</w:t>
            </w:r>
          </w:p>
          <w:p>
            <w:pPr>
              <w:spacing w:after="160" w:before="40"/>
            </w:pPr>
            <w:r>
              <w:rPr>
                <w:rFonts w:ascii="Calibri" w:cs="Calibri" w:eastAsia="Calibri" w:hAnsi="Calibri"/>
                <w:b/>
                <w:bCs/>
                <w:color w:val="1B3A57"/>
                <w:sz w:val="30"/>
                <w:szCs w:val="30"/>
              </w:rPr>
              <w:t xml:space="preserve">Myth vs. Fact</w:t>
            </w:r>
          </w:p>
          <w:p>
            <w:pPr>
              <w:pBdr>
                <w:bottom w:val="single" w:color="D9D9D9" w:sz="6"/>
              </w:pBdr>
              <w:spacing w:after="160" w:before="60"/>
            </w:pPr>
            <w:r>
              <w:t xml:space="preserve"/>
            </w:r>
          </w:p>
          <w:p>
            <w:pPr>
              <w:spacing w:after="80"/>
            </w:pPr>
            <w:r>
              <w:rPr>
                <w:b/>
                <w:bCs/>
                <w:color w:val="9E2A2B"/>
                <w:sz w:val="20"/>
                <w:szCs w:val="20"/>
              </w:rPr>
              <w:t xml:space="preserve">MYTH:</w:t>
            </w:r>
          </w:p>
          <w:p>
            <w:pPr>
              <w:spacing w:after="140"/>
            </w:pPr>
            <w:r>
              <w:rPr>
                <w:b w:val="false"/>
                <w:bCs w:val="false"/>
                <w:i/>
                <w:iCs/>
                <w:color w:val="222222"/>
                <w:sz w:val="19"/>
                <w:szCs w:val="19"/>
              </w:rPr>
              <w:t xml:space="preserve">“Anyone caught by police in a drug case — whether they used, sold, or were just carrying drugs — automatically gets life imprisonment.”</w:t>
            </w:r>
          </w:p>
          <w:p>
            <w:pPr>
              <w:spacing w:after="80" w:before="100"/>
            </w:pPr>
            <w:r>
              <w:rPr>
                <w:b/>
                <w:bCs/>
                <w:color w:val="2E5E4E"/>
                <w:sz w:val="20"/>
                <w:szCs w:val="20"/>
              </w:rPr>
              <w:t xml:space="preserve">FACT:</w:t>
            </w:r>
          </w:p>
          <w:p>
            <w:pPr>
              <w:spacing w:after="140"/>
            </w:pPr>
            <w:r>
              <w:rPr>
                <w:b w:val="false"/>
                <w:bCs w:val="false"/>
                <w:i w:val="false"/>
                <w:iCs w:val="false"/>
                <w:color w:val="222222"/>
                <w:sz w:val="19"/>
                <w:szCs w:val="19"/>
              </w:rPr>
              <w:t xml:space="preserve">R.A. 9165 treats these very differently:</w:t>
            </w:r>
          </w:p>
          <w:p>
            <w:pPr>
              <w:spacing w:after="90"/>
              <w:ind w:left="200"/>
            </w:pPr>
            <w:r>
              <w:rPr>
                <w:b/>
                <w:bCs/>
                <w:color w:val="B8860B"/>
                <w:sz w:val="19"/>
                <w:szCs w:val="19"/>
              </w:rPr>
              <w:t xml:space="preserve">•  </w:t>
            </w:r>
            <w:r>
              <w:rPr>
                <w:color w:val="222222"/>
                <w:sz w:val="19"/>
                <w:szCs w:val="19"/>
              </w:rPr>
              <w:t xml:space="preserve">Selling, trading, or trafficking dangerous drugs (Section 5) — life imprisonment to death* plus a fine of up to ₱10 million.</w:t>
            </w:r>
          </w:p>
          <w:p>
            <w:pPr>
              <w:spacing w:after="90"/>
              <w:ind w:left="200"/>
            </w:pPr>
            <w:r>
              <w:rPr>
                <w:b/>
                <w:bCs/>
                <w:color w:val="B8860B"/>
                <w:sz w:val="19"/>
                <w:szCs w:val="19"/>
              </w:rPr>
              <w:t xml:space="preserve">•  </w:t>
            </w:r>
            <w:r>
              <w:rPr>
                <w:color w:val="222222"/>
                <w:sz w:val="19"/>
                <w:szCs w:val="19"/>
              </w:rPr>
              <w:t xml:space="preserve">Mere use of a dangerous drug, confirmed by a drug test (Section 15) — for a first offense, the person instead undergoes at least six (6) months of mandatory rehabilitation, not imprisonment.</w:t>
            </w:r>
          </w:p>
          <w:p>
            <w:pPr>
              <w:spacing w:after="140"/>
            </w:pPr>
            <w:r>
              <w:rPr>
                <w:b w:val="false"/>
                <w:bCs w:val="false"/>
                <w:i/>
                <w:iCs/>
                <w:color w:val="222222"/>
                <w:sz w:val="19"/>
                <w:szCs w:val="19"/>
              </w:rPr>
              <w:t xml:space="preserve">*Under R.A. 9346 (2006), the death penalty is currently not carried out even though it remains written in the law.</w:t>
            </w:r>
          </w:p>
          <w:p>
            <w:pPr>
              <w:pBdr>
                <w:bottom w:val="single" w:color="D9D9D9" w:sz="6"/>
              </w:pBdr>
              <w:spacing w:after="160" w:before="60"/>
            </w:pPr>
            <w:r>
              <w:t xml:space="preserve"/>
            </w:r>
          </w:p>
          <w:p>
            <w:pPr>
              <w:spacing w:after="140"/>
            </w:pPr>
            <w:r>
              <w:rPr>
                <w:b/>
                <w:bCs/>
                <w:i w:val="false"/>
                <w:iCs w:val="false"/>
                <w:color w:val="222222"/>
                <w:sz w:val="19"/>
                <w:szCs w:val="19"/>
              </w:rPr>
              <w:t xml:space="preserve">Confusing “use” with “selling” can create unfair fear and stigma toward people who need treatment, not a cell. Knowing the difference helps families make the right decision — get help early.</w:t>
            </w:r>
          </w:p>
        </w:tc>
        <w:tc>
          <w:tcPr>
            <w:tcW w:type="dxa" w:w="5280"/>
            <w:tcBorders>
              <w:top w:val="none" w:color="FFFFFF" w:sz="0"/>
              <w:left w:val="none" w:color="FFFFFF" w:sz="0"/>
              <w:bottom w:val="none" w:color="FFFFFF" w:sz="0"/>
              <w:right w:val="none" w:color="FFFFFF" w:sz="0"/>
            </w:tcBorders>
            <w:shd w:fill="F7F5EF" w:val="clear"/>
            <w:tcMar>
              <w:top w:type="dxa" w:w="260"/>
              <w:left w:type="dxa" w:w="260"/>
              <w:bottom w:type="dxa" w:w="260"/>
              <w:right w:type="dxa" w:w="260"/>
            </w:tcMar>
            <w:vAlign w:val="top"/>
          </w:tcPr>
          <w:p>
            <w:pPr>
              <w:spacing w:after="120"/>
            </w:pPr>
            <w:r>
              <w:rPr>
                <w:b/>
                <w:bCs/>
                <w:color w:val="888888"/>
                <w:spacing w:val="20"/>
                <w:sz w:val="14"/>
                <w:szCs w:val="14"/>
              </w:rPr>
              <w:t xml:space="preserve">PANEL 3 · FRONT COVER</w:t>
            </w:r>
          </w:p>
          <w:p>
            <w:pPr>
              <w:spacing w:after="40" w:before="600"/>
              <w:jc w:val="center"/>
            </w:pPr>
            <w:r>
              <w:rPr>
                <w:b/>
                <w:bCs/>
                <w:color w:val="B8860B"/>
                <w:spacing w:val="20"/>
                <w:sz w:val="16"/>
                <w:szCs w:val="16"/>
              </w:rPr>
              <w:t xml:space="preserve">BARANGAY ANTI-DRUG ABUSE COUNCIL</w:t>
            </w:r>
          </w:p>
          <w:p>
            <w:pPr>
              <w:spacing w:after="300"/>
              <w:jc w:val="center"/>
            </w:pPr>
            <w:r>
              <w:rPr>
                <w:color w:val="AAAAAA"/>
                <w:sz w:val="18"/>
                <w:szCs w:val="18"/>
              </w:rPr>
              <w:t xml:space="preserve">[ LOGO ]</w:t>
            </w:r>
          </w:p>
          <w:p>
            <w:pPr>
              <w:spacing w:after="200"/>
              <w:jc w:val="center"/>
            </w:pPr>
            <w:r>
              <w:rPr>
                <w:b/>
                <w:bCs/>
                <w:color w:val="1B3A57"/>
                <w:sz w:val="40"/>
                <w:szCs w:val="40"/>
              </w:rPr>
              <w:t xml:space="preserve">KNOW THE LAW.</w:t>
            </w:r>
          </w:p>
          <w:p>
            <w:pPr>
              <w:spacing w:after="500"/>
              <w:jc w:val="center"/>
            </w:pPr>
            <w:r>
              <w:rPr>
                <w:b/>
                <w:bCs/>
                <w:color w:val="1B3A57"/>
                <w:sz w:val="40"/>
                <w:szCs w:val="40"/>
              </w:rPr>
              <w:t xml:space="preserve">PROTECT OUR BARANGAY.</w:t>
            </w:r>
          </w:p>
          <w:p>
            <w:pPr>
              <w:pBdr>
                <w:top w:val="single" w:color="B8860B" w:sz="8"/>
                <w:bottom w:val="single" w:color="B8860B" w:sz="8"/>
              </w:pBdr>
              <w:spacing w:after="100"/>
              <w:jc w:val="center"/>
            </w:pPr>
            <w:r>
              <w:rPr>
                <w:color w:val="333333"/>
                <w:sz w:val="20"/>
                <w:szCs w:val="20"/>
              </w:rPr>
              <w:t xml:space="preserve">  A Plain-Language Guide to R.A. 9165  </w:t>
            </w:r>
          </w:p>
          <w:p>
            <w:pPr>
              <w:spacing w:after="500" w:before="100"/>
              <w:jc w:val="center"/>
            </w:pPr>
            <w:r>
              <w:rPr>
                <w:i/>
                <w:iCs/>
                <w:color w:val="555555"/>
                <w:sz w:val="18"/>
                <w:szCs w:val="18"/>
              </w:rPr>
              <w:t xml:space="preserve">The Comprehensive Dangerous Drugs Act of 2002</w:t>
            </w:r>
          </w:p>
          <w:p>
            <w:pPr>
              <w:spacing w:before="800"/>
              <w:jc w:val="center"/>
            </w:pPr>
            <w:r>
              <w:rPr>
                <w:b/>
                <w:bCs/>
                <w:color w:val="2E5E4E"/>
                <w:spacing w:val="10"/>
                <w:sz w:val="16"/>
                <w:szCs w:val="16"/>
              </w:rPr>
              <w:t xml:space="preserve">ENFORCEMENT  •  TREATMENT  •  REHABILITATION  •  REINTEGRATION</w:t>
            </w:r>
          </w:p>
        </w:tc>
      </w:tr>
    </w:tbl>
    <w:p>
      <w:pPr>
        <w:sectPr>
          <w:pgSz w:w="18720" w:h="12240" w:orient="landscape"/>
          <w:pgMar w:top="1440" w:right="1440" w:bottom="1440" w:left="1440" w:header="708" w:footer="708" w:gutter="0"/>
          <w:pgNumType/>
          <w:docGrid w:linePitch="360"/>
        </w:sectPr>
      </w:pPr>
    </w:p>
    <w:p>
      <w:pPr>
        <w:spacing w:after="160"/>
        <w:jc w:val="center"/>
      </w:pPr>
      <w:r>
        <w:rPr>
          <w:b/>
          <w:bCs/>
          <w:color w:val="999999"/>
          <w:sz w:val="16"/>
          <w:szCs w:val="16"/>
        </w:rPr>
        <w:t xml:space="preserve">PAGE 2 — PRINT ON THE BACK OF PAGE 1 (Inside of the Pamphlet)</w:t>
      </w:r>
    </w:p>
    <w:tbl>
      <w:tblPr>
        <w:tblW w:type="dxa" w:w="15840"/>
        <w:tblBorders>
          <w:top w:val="single" w:color="auto" w:sz="4"/>
          <w:left w:val="single" w:color="auto" w:sz="4"/>
          <w:bottom w:val="single" w:color="auto" w:sz="4"/>
          <w:right w:val="single" w:color="auto" w:sz="4"/>
          <w:insideH w:val="single" w:color="auto" w:sz="4"/>
          <w:insideV w:val="single" w:color="auto" w:sz="4"/>
        </w:tblBorders>
      </w:tblPr>
      <w:tblGrid>
        <w:gridCol w:w="5280"/>
        <w:gridCol w:w="5280"/>
        <w:gridCol w:w="5280"/>
      </w:tblGrid>
      <w:tr>
        <w:trPr>
          <w:cantSplit/>
        </w:trPr>
        <w:tc>
          <w:tcPr>
            <w:tcW w:type="dxa" w:w="5280"/>
            <w:tcBorders>
              <w:top w:val="none" w:color="FFFFFF" w:sz="0"/>
              <w:left w:val="none" w:color="FFFFFF" w:sz="0"/>
              <w:bottom w:val="none" w:color="FFFFFF" w:sz="0"/>
              <w:right w:val="dashed" w:color="999999" w:sz="6"/>
            </w:tcBorders>
            <w:shd w:fill="F7F5EF" w:val="clear"/>
            <w:tcMar>
              <w:top w:type="dxa" w:w="260"/>
              <w:left w:type="dxa" w:w="260"/>
              <w:bottom w:type="dxa" w:w="260"/>
              <w:right w:type="dxa" w:w="260"/>
            </w:tcMar>
            <w:vAlign w:val="top"/>
          </w:tcPr>
          <w:p>
            <w:pPr>
              <w:spacing w:after="120"/>
            </w:pPr>
            <w:r>
              <w:rPr>
                <w:b/>
                <w:bCs/>
                <w:color w:val="888888"/>
                <w:spacing w:val="20"/>
                <w:sz w:val="14"/>
                <w:szCs w:val="14"/>
              </w:rPr>
              <w:t xml:space="preserve">PANEL 4</w:t>
            </w:r>
          </w:p>
          <w:p>
            <w:pPr>
              <w:spacing w:after="160" w:before="40"/>
            </w:pPr>
            <w:r>
              <w:rPr>
                <w:rFonts w:ascii="Calibri" w:cs="Calibri" w:eastAsia="Calibri" w:hAnsi="Calibri"/>
                <w:b/>
                <w:bCs/>
                <w:color w:val="1B3A57"/>
                <w:sz w:val="30"/>
                <w:szCs w:val="30"/>
              </w:rPr>
              <w:t xml:space="preserve">3 Things Every Resident Should Know</w:t>
            </w:r>
          </w:p>
          <w:p>
            <w:pPr>
              <w:pBdr>
                <w:bottom w:val="single" w:color="D9D9D9" w:sz="6"/>
              </w:pBdr>
              <w:spacing w:after="160" w:before="60"/>
            </w:pPr>
            <w:r>
              <w:t xml:space="preserve"/>
            </w:r>
          </w:p>
          <w:p>
            <w:pPr>
              <w:spacing w:after="100" w:before="200"/>
            </w:pPr>
            <w:r>
              <w:rPr>
                <w:rFonts w:ascii="Calibri" w:cs="Calibri" w:eastAsia="Calibri" w:hAnsi="Calibri"/>
                <w:b/>
                <w:bCs/>
                <w:color w:val="1B3A57"/>
                <w:sz w:val="22"/>
                <w:szCs w:val="22"/>
              </w:rPr>
              <w:t xml:space="preserve">1. Using Drugs — Sec. 15</w:t>
            </w:r>
          </w:p>
          <w:p>
            <w:pPr>
              <w:spacing w:after="140"/>
            </w:pPr>
            <w:r>
              <w:rPr>
                <w:b w:val="false"/>
                <w:bCs w:val="false"/>
                <w:i w:val="false"/>
                <w:iCs w:val="false"/>
                <w:color w:val="222222"/>
                <w:sz w:val="19"/>
                <w:szCs w:val="19"/>
              </w:rPr>
              <w:t xml:space="preserve">If a person is arrested and a confirmatory drug test is positive for use (with no drugs found in their possession), the law's response for a first offense is treatment, not prison: a minimum of six (6) months in a government rehabilitation program.</w:t>
            </w:r>
          </w:p>
          <w:p>
            <w:pPr>
              <w:spacing w:after="140"/>
            </w:pPr>
            <w:r>
              <w:rPr>
                <w:b w:val="false"/>
                <w:bCs w:val="false"/>
                <w:i/>
                <w:iCs/>
                <w:color w:val="222222"/>
                <w:sz w:val="19"/>
                <w:szCs w:val="19"/>
              </w:rPr>
              <w:t xml:space="preserve">A second offense is punished more severely — imprisonment of about 6 to 12 years plus a fine.</w:t>
            </w:r>
          </w:p>
          <w:p>
            <w:pPr>
              <w:spacing w:after="100" w:before="200"/>
            </w:pPr>
            <w:r>
              <w:rPr>
                <w:rFonts w:ascii="Calibri" w:cs="Calibri" w:eastAsia="Calibri" w:hAnsi="Calibri"/>
                <w:b/>
                <w:bCs/>
                <w:color w:val="1B3A57"/>
                <w:sz w:val="22"/>
                <w:szCs w:val="22"/>
              </w:rPr>
              <w:t xml:space="preserve">2. Possessing Drugs — Sec. 11</w:t>
            </w:r>
          </w:p>
          <w:p>
            <w:pPr>
              <w:spacing w:after="140"/>
            </w:pPr>
            <w:r>
              <w:rPr>
                <w:b w:val="false"/>
                <w:bCs w:val="false"/>
                <w:i w:val="false"/>
                <w:iCs w:val="false"/>
                <w:color w:val="222222"/>
                <w:sz w:val="19"/>
                <w:szCs w:val="19"/>
              </w:rPr>
              <w:t xml:space="preserve">Having any dangerous drug on your person, in your bag, or in your home — even in small amounts and even “just for personal use” — is a separate and much heavier offense than mere use. Depending on the type and amount, penalties range from about 12 years' imprisonment up to life imprisonment, plus fines that can reach hundreds of thousands of pesos.</w:t>
            </w:r>
          </w:p>
          <w:p>
            <w:pPr>
              <w:spacing w:after="100" w:before="200"/>
            </w:pPr>
            <w:r>
              <w:rPr>
                <w:rFonts w:ascii="Calibri" w:cs="Calibri" w:eastAsia="Calibri" w:hAnsi="Calibri"/>
                <w:b/>
                <w:bCs/>
                <w:color w:val="1B3A57"/>
                <w:sz w:val="22"/>
                <w:szCs w:val="22"/>
              </w:rPr>
              <w:t xml:space="preserve">3. Paraphernalia — Sec. 12</w:t>
            </w:r>
          </w:p>
          <w:p>
            <w:pPr>
              <w:spacing w:after="140"/>
            </w:pPr>
            <w:r>
              <w:rPr>
                <w:b w:val="false"/>
                <w:bCs w:val="false"/>
                <w:i w:val="false"/>
                <w:iCs w:val="false"/>
                <w:color w:val="222222"/>
                <w:sz w:val="19"/>
                <w:szCs w:val="19"/>
              </w:rPr>
              <w:t xml:space="preserve">Keeping equipment used for drugs (e.g., an improvised pipe or “tooter”), especially at a party or gathering, is punishable on its own — about 6 months to 4 years' imprisonment plus a fine of ₱10,000 to ₱50,000.</w:t>
            </w:r>
          </w:p>
        </w:tc>
        <w:tc>
          <w:tcPr>
            <w:tcW w:type="dxa" w:w="5280"/>
            <w:tcBorders>
              <w:top w:val="none" w:color="FFFFFF" w:sz="0"/>
              <w:left w:val="none" w:color="FFFFFF" w:sz="0"/>
              <w:bottom w:val="none" w:color="FFFFFF" w:sz="0"/>
              <w:right w:val="dashed" w:color="999999" w:sz="6"/>
            </w:tcBorders>
            <w:tcMar>
              <w:top w:type="dxa" w:w="260"/>
              <w:left w:type="dxa" w:w="260"/>
              <w:bottom w:type="dxa" w:w="260"/>
              <w:right w:type="dxa" w:w="260"/>
            </w:tcMar>
            <w:vAlign w:val="top"/>
          </w:tcPr>
          <w:p>
            <w:pPr>
              <w:spacing w:after="120"/>
            </w:pPr>
            <w:r>
              <w:rPr>
                <w:b/>
                <w:bCs/>
                <w:color w:val="888888"/>
                <w:spacing w:val="20"/>
                <w:sz w:val="14"/>
                <w:szCs w:val="14"/>
              </w:rPr>
              <w:t xml:space="preserve">PANEL 5</w:t>
            </w:r>
          </w:p>
          <w:p>
            <w:pPr>
              <w:spacing w:after="160" w:before="40"/>
            </w:pPr>
            <w:r>
              <w:rPr>
                <w:rFonts w:ascii="Calibri" w:cs="Calibri" w:eastAsia="Calibri" w:hAnsi="Calibri"/>
                <w:b/>
                <w:bCs/>
                <w:color w:val="1B3A57"/>
                <w:sz w:val="30"/>
                <w:szCs w:val="30"/>
              </w:rPr>
              <w:t xml:space="preserve">A Law With Two Goals</w:t>
            </w:r>
          </w:p>
          <w:p>
            <w:pPr>
              <w:pBdr>
                <w:bottom w:val="single" w:color="D9D9D9" w:sz="6"/>
              </w:pBdr>
              <w:spacing w:after="160" w:before="60"/>
            </w:pPr>
            <w:r>
              <w:t xml:space="preserve"/>
            </w:r>
          </w:p>
          <w:p>
            <w:pPr>
              <w:spacing w:after="140"/>
            </w:pPr>
            <w:r>
              <w:rPr>
                <w:b w:val="false"/>
                <w:bCs w:val="false"/>
                <w:i w:val="false"/>
                <w:iCs w:val="false"/>
                <w:color w:val="222222"/>
                <w:sz w:val="19"/>
                <w:szCs w:val="19"/>
              </w:rPr>
              <w:t xml:space="preserve">R.A. 9165 is not only a punishment law. Alongside its strict penalties for trafficking and large-scale offenses, it also builds a system for recovery:</w:t>
            </w:r>
          </w:p>
          <w:p>
            <w:pPr>
              <w:spacing w:after="100" w:before="200"/>
            </w:pPr>
            <w:r>
              <w:rPr>
                <w:rFonts w:ascii="Calibri" w:cs="Calibri" w:eastAsia="Calibri" w:hAnsi="Calibri"/>
                <w:b/>
                <w:bCs/>
                <w:color w:val="9E2A2B"/>
                <w:sz w:val="22"/>
                <w:szCs w:val="22"/>
              </w:rPr>
              <w:t xml:space="preserve">Enforcement</w:t>
            </w:r>
          </w:p>
          <w:p>
            <w:pPr>
              <w:spacing w:after="90"/>
              <w:ind w:left="200"/>
            </w:pPr>
            <w:r>
              <w:rPr>
                <w:b/>
                <w:bCs/>
                <w:color w:val="B8860B"/>
                <w:sz w:val="19"/>
                <w:szCs w:val="19"/>
              </w:rPr>
              <w:t xml:space="preserve">•  </w:t>
            </w:r>
            <w:r>
              <w:rPr>
                <w:color w:val="222222"/>
                <w:sz w:val="19"/>
                <w:szCs w:val="19"/>
              </w:rPr>
              <w:t xml:space="preserve">Strict penalties for importation, sale, trafficking, and manufacturing</w:t>
            </w:r>
          </w:p>
          <w:p>
            <w:pPr>
              <w:spacing w:after="90"/>
              <w:ind w:left="200"/>
            </w:pPr>
            <w:r>
              <w:rPr>
                <w:b/>
                <w:bCs/>
                <w:color w:val="B8860B"/>
                <w:sz w:val="19"/>
                <w:szCs w:val="19"/>
              </w:rPr>
              <w:t xml:space="preserve">•  </w:t>
            </w:r>
            <w:r>
              <w:rPr>
                <w:color w:val="222222"/>
                <w:sz w:val="19"/>
                <w:szCs w:val="19"/>
              </w:rPr>
              <w:t xml:space="preserve">Special protection for minors and communities near schools</w:t>
            </w:r>
          </w:p>
          <w:p>
            <w:pPr>
              <w:spacing w:after="100" w:before="200"/>
            </w:pPr>
            <w:r>
              <w:rPr>
                <w:rFonts w:ascii="Calibri" w:cs="Calibri" w:eastAsia="Calibri" w:hAnsi="Calibri"/>
                <w:b/>
                <w:bCs/>
                <w:color w:val="2E5E4E"/>
                <w:sz w:val="22"/>
                <w:szCs w:val="22"/>
              </w:rPr>
              <w:t xml:space="preserve">Treatment &amp; Rehabilitation</w:t>
            </w:r>
          </w:p>
          <w:p>
            <w:pPr>
              <w:spacing w:after="90"/>
              <w:ind w:left="200"/>
            </w:pPr>
            <w:r>
              <w:rPr>
                <w:b/>
                <w:bCs/>
                <w:color w:val="B8860B"/>
                <w:sz w:val="19"/>
                <w:szCs w:val="19"/>
              </w:rPr>
              <w:t xml:space="preserve">•  </w:t>
            </w:r>
            <w:r>
              <w:rPr>
                <w:color w:val="222222"/>
                <w:sz w:val="19"/>
                <w:szCs w:val="19"/>
              </w:rPr>
              <w:t xml:space="preserve">Voluntary and court-ordered treatment programs (Sec. 54–64)</w:t>
            </w:r>
          </w:p>
          <w:p>
            <w:pPr>
              <w:spacing w:after="90"/>
              <w:ind w:left="200"/>
            </w:pPr>
            <w:r>
              <w:rPr>
                <w:b/>
                <w:bCs/>
                <w:color w:val="B8860B"/>
                <w:sz w:val="19"/>
                <w:szCs w:val="19"/>
              </w:rPr>
              <w:t xml:space="preserve">•  </w:t>
            </w:r>
            <w:r>
              <w:rPr>
                <w:color w:val="222222"/>
                <w:sz w:val="19"/>
                <w:szCs w:val="19"/>
              </w:rPr>
              <w:t xml:space="preserve">Confidentiality of a patient's treatment records</w:t>
            </w:r>
          </w:p>
          <w:p>
            <w:pPr>
              <w:spacing w:after="90"/>
              <w:ind w:left="200"/>
            </w:pPr>
            <w:r>
              <w:rPr>
                <w:b/>
                <w:bCs/>
                <w:color w:val="B8860B"/>
                <w:sz w:val="19"/>
                <w:szCs w:val="19"/>
              </w:rPr>
              <w:t xml:space="preserve">•  </w:t>
            </w:r>
            <w:r>
              <w:rPr>
                <w:color w:val="222222"/>
                <w:sz w:val="19"/>
                <w:szCs w:val="19"/>
              </w:rPr>
              <w:t xml:space="preserve">Suspended sentence, probation, or community service for qualified first-time minor offenders</w:t>
            </w:r>
          </w:p>
          <w:p>
            <w:pPr>
              <w:spacing w:after="100" w:before="200"/>
            </w:pPr>
            <w:r>
              <w:rPr>
                <w:rFonts w:ascii="Calibri" w:cs="Calibri" w:eastAsia="Calibri" w:hAnsi="Calibri"/>
                <w:b/>
                <w:bCs/>
                <w:color w:val="2E5E4E"/>
                <w:sz w:val="22"/>
                <w:szCs w:val="22"/>
              </w:rPr>
              <w:t xml:space="preserve">Reintegration</w:t>
            </w:r>
          </w:p>
          <w:p>
            <w:pPr>
              <w:spacing w:after="90"/>
              <w:ind w:left="200"/>
            </w:pPr>
            <w:r>
              <w:rPr>
                <w:b/>
                <w:bCs/>
                <w:color w:val="B8860B"/>
                <w:sz w:val="19"/>
                <w:szCs w:val="19"/>
              </w:rPr>
              <w:t xml:space="preserve">•  </w:t>
            </w:r>
            <w:r>
              <w:rPr>
                <w:color w:val="222222"/>
                <w:sz w:val="19"/>
                <w:szCs w:val="19"/>
              </w:rPr>
              <w:t xml:space="preserve">After-care and follow-up programs so recovering individuals can safely return to family and community life</w:t>
            </w:r>
          </w:p>
          <w:p>
            <w:pPr>
              <w:spacing w:after="90"/>
              <w:ind w:left="200"/>
            </w:pPr>
            <w:r>
              <w:rPr>
                <w:b/>
                <w:bCs/>
                <w:color w:val="B8860B"/>
                <w:sz w:val="19"/>
                <w:szCs w:val="19"/>
              </w:rPr>
              <w:t xml:space="preserve">•  </w:t>
            </w:r>
            <w:r>
              <w:rPr>
                <w:color w:val="222222"/>
                <w:sz w:val="19"/>
                <w:szCs w:val="19"/>
              </w:rPr>
              <w:t xml:space="preserve">Possible exemption from criminal liability for qualified voluntary applicants (Sec. 55)</w:t>
            </w:r>
          </w:p>
          <w:p>
            <w:pPr>
              <w:pBdr>
                <w:bottom w:val="single" w:color="D9D9D9" w:sz="6"/>
              </w:pBdr>
              <w:spacing w:after="160" w:before="60"/>
            </w:pPr>
            <w:r>
              <w:t xml:space="preserve"/>
            </w:r>
          </w:p>
          <w:p>
            <w:pPr>
              <w:spacing w:after="140"/>
            </w:pPr>
            <w:r>
              <w:rPr>
                <w:b/>
                <w:bCs/>
                <w:i w:val="false"/>
                <w:iCs w:val="false"/>
                <w:color w:val="222222"/>
                <w:sz w:val="19"/>
                <w:szCs w:val="19"/>
              </w:rPr>
              <w:t xml:space="preserve">The goal is a safer barangay achieved through both accountability and compassion.</w:t>
            </w:r>
          </w:p>
        </w:tc>
        <w:tc>
          <w:tcPr>
            <w:tcW w:type="dxa" w:w="5280"/>
            <w:tcBorders>
              <w:top w:val="none" w:color="FFFFFF" w:sz="0"/>
              <w:left w:val="none" w:color="FFFFFF" w:sz="0"/>
              <w:bottom w:val="none" w:color="FFFFFF" w:sz="0"/>
              <w:right w:val="none" w:color="FFFFFF" w:sz="0"/>
            </w:tcBorders>
            <w:shd w:fill="F7F5EF" w:val="clear"/>
            <w:tcMar>
              <w:top w:type="dxa" w:w="260"/>
              <w:left w:type="dxa" w:w="260"/>
              <w:bottom w:type="dxa" w:w="260"/>
              <w:right w:type="dxa" w:w="260"/>
            </w:tcMar>
            <w:vAlign w:val="top"/>
          </w:tcPr>
          <w:p>
            <w:pPr>
              <w:spacing w:after="120"/>
            </w:pPr>
            <w:r>
              <w:rPr>
                <w:b/>
                <w:bCs/>
                <w:color w:val="888888"/>
                <w:spacing w:val="20"/>
                <w:sz w:val="14"/>
                <w:szCs w:val="14"/>
              </w:rPr>
              <w:t xml:space="preserve">PANEL 6</w:t>
            </w:r>
          </w:p>
          <w:p>
            <w:pPr>
              <w:spacing w:after="160" w:before="40"/>
            </w:pPr>
            <w:r>
              <w:rPr>
                <w:rFonts w:ascii="Calibri" w:cs="Calibri" w:eastAsia="Calibri" w:hAnsi="Calibri"/>
                <w:b/>
                <w:bCs/>
                <w:color w:val="1B3A57"/>
                <w:sz w:val="30"/>
                <w:szCs w:val="30"/>
              </w:rPr>
              <w:t xml:space="preserve">There's a Lawful Way Out</w:t>
            </w:r>
          </w:p>
          <w:p>
            <w:pPr>
              <w:pBdr>
                <w:bottom w:val="single" w:color="D9D9D9" w:sz="6"/>
              </w:pBdr>
              <w:spacing w:after="160" w:before="60"/>
            </w:pPr>
            <w:r>
              <w:t xml:space="preserve"/>
            </w:r>
          </w:p>
          <w:p>
            <w:pPr>
              <w:spacing w:after="140"/>
            </w:pPr>
            <w:r>
              <w:rPr>
                <w:b w:val="false"/>
                <w:bCs w:val="false"/>
                <w:i w:val="false"/>
                <w:iCs w:val="false"/>
                <w:color w:val="222222"/>
                <w:sz w:val="19"/>
                <w:szCs w:val="19"/>
              </w:rPr>
              <w:t xml:space="preserve">A drug dependent — or someone who only used drugs — can ask for help before getting arrested, through the Voluntary Submission Program (Sections 54–55):</w:t>
            </w:r>
          </w:p>
          <w:p>
            <w:pPr>
              <w:spacing w:after="100" w:before="200"/>
            </w:pPr>
            <w:r>
              <w:rPr>
                <w:rFonts w:ascii="Calibri" w:cs="Calibri" w:eastAsia="Calibri" w:hAnsi="Calibri"/>
                <w:b/>
                <w:bCs/>
                <w:color w:val="1B3A57"/>
                <w:sz w:val="22"/>
                <w:szCs w:val="22"/>
              </w:rPr>
              <w:t xml:space="preserve">How it works</w:t>
            </w:r>
          </w:p>
          <w:p>
            <w:pPr>
              <w:spacing w:after="90"/>
            </w:pPr>
            <w:r>
              <w:rPr>
                <w:b/>
                <w:bCs/>
                <w:color w:val="B8860B"/>
                <w:sz w:val="19"/>
                <w:szCs w:val="19"/>
              </w:rPr>
              <w:t xml:space="preserve">1.  </w:t>
            </w:r>
            <w:r>
              <w:rPr>
                <w:sz w:val="19"/>
                <w:szCs w:val="19"/>
              </w:rPr>
              <w:t xml:space="preserve">Apply — personally, or through a parent, spouse, guardian, or close relative — to the Dangerous Drugs Board or its representative.</w:t>
            </w:r>
          </w:p>
          <w:p>
            <w:pPr>
              <w:spacing w:after="90"/>
            </w:pPr>
            <w:r>
              <w:rPr>
                <w:b/>
                <w:bCs/>
                <w:color w:val="B8860B"/>
                <w:sz w:val="19"/>
                <w:szCs w:val="19"/>
              </w:rPr>
              <w:t xml:space="preserve">2.  </w:t>
            </w:r>
            <w:r>
              <w:rPr>
                <w:sz w:val="19"/>
                <w:szCs w:val="19"/>
              </w:rPr>
              <w:t xml:space="preserve">A court orders an examination; if dependency is confirmed, treatment and rehabilitation follow (at least 6 months, center-based or, in qualified cases, outpatient).</w:t>
            </w:r>
          </w:p>
          <w:p>
            <w:pPr>
              <w:spacing w:after="90"/>
            </w:pPr>
            <w:r>
              <w:rPr>
                <w:b/>
                <w:bCs/>
                <w:color w:val="B8860B"/>
                <w:sz w:val="19"/>
                <w:szCs w:val="19"/>
              </w:rPr>
              <w:t xml:space="preserve">3.  </w:t>
            </w:r>
            <w:r>
              <w:rPr>
                <w:sz w:val="19"/>
                <w:szCs w:val="19"/>
              </w:rPr>
              <w:t xml:space="preserve">After discharge, an after-care and follow-up program supports the person's return to daily life.</w:t>
            </w:r>
          </w:p>
          <w:p>
            <w:pPr>
              <w:spacing w:after="200"/>
            </w:pPr>
            <w:r>
              <w:rPr>
                <w:b/>
                <w:bCs/>
                <w:color w:val="B8860B"/>
                <w:sz w:val="19"/>
                <w:szCs w:val="19"/>
              </w:rPr>
              <w:t xml:space="preserve">4.  </w:t>
            </w:r>
            <w:r>
              <w:rPr>
                <w:sz w:val="19"/>
                <w:szCs w:val="19"/>
              </w:rPr>
              <w:t xml:space="preserve">A qualified applicant who completes the program, with no escape record and no danger to self or community, may be exempted from criminal liability for the use offense.</w:t>
            </w:r>
          </w:p>
          <w:p>
            <w:pPr>
              <w:pBdr>
                <w:bottom w:val="single" w:color="D9D9D9" w:sz="6"/>
              </w:pBdr>
              <w:spacing w:after="160" w:before="60"/>
            </w:pPr>
            <w:r>
              <w:t xml:space="preserve"/>
            </w:r>
          </w:p>
          <w:p>
            <w:pPr>
              <w:spacing w:after="140"/>
            </w:pPr>
            <w:r>
              <w:rPr>
                <w:b w:val="false"/>
                <w:bCs w:val="false"/>
                <w:i/>
                <w:iCs/>
                <w:color w:val="222222"/>
                <w:sz w:val="19"/>
                <w:szCs w:val="19"/>
              </w:rPr>
              <w:t xml:space="preserve">This guide gives general information only. For advice on a specific situation, consult the Public Attorney's Office, a private lawyer, or your barangay ADAC.</w:t>
            </w:r>
          </w:p>
          <w:p>
            <w:pPr>
              <w:spacing w:before="260"/>
              <w:jc w:val="center"/>
            </w:pPr>
            <w:r>
              <w:rPr>
                <w:i/>
                <w:iCs/>
                <w:color w:val="888888"/>
                <w:sz w:val="15"/>
                <w:szCs w:val="15"/>
              </w:rPr>
              <w:t xml:space="preserve">Fold here to keep this guide in your wallet or bag.</w:t>
            </w:r>
          </w:p>
        </w:tc>
      </w:tr>
    </w:tbl>
    <w:sectPr>
      <w:pgSz w:w="18720" w:h="12240" w:orient="landscape"/>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2026-09-03T13:44:52.492Z</dcterms:created>
  <dcterms:modified xsi:type="dcterms:W3CDTF">2026-09-03T13:44:52.504Z</dcterms:modified>
</cp:coreProperties>
</file>

<file path=docProps/custom.xml><?xml version="1.0" encoding="utf-8"?>
<Properties xmlns="http://schemas.openxmlformats.org/officeDocument/2006/custom-properties" xmlns:vt="http://schemas.openxmlformats.org/officeDocument/2006/docPropsVTypes"/>
</file>