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2"/>
        </w:rPr>
        <w:t>WORKING SPECIFICATION</w:t>
      </w:r>
    </w:p>
    <w:p>
      <w:pPr>
        <w:jc w:val="center"/>
      </w:pPr>
      <w:r>
        <w:rPr>
          <w:b/>
          <w:color w:val="17365D"/>
          <w:sz w:val="56"/>
        </w:rPr>
        <w:t>AUTONOMOUS PHYSICS &amp; ENGINEERING DISCOVERY PLATFORM</w:t>
      </w:r>
    </w:p>
    <w:p>
      <w:pPr>
        <w:jc w:val="center"/>
      </w:pPr>
      <w:r>
        <w:rPr>
          <w:color w:val="666666"/>
          <w:sz w:val="30"/>
        </w:rPr>
        <w:t>Non-Technical Requirements &amp; Operating Model (NTR)</w:t>
      </w:r>
    </w:p>
    <w:p/>
    <w:tbl>
      <w:tblPr>
        <w:tblW w:type="auto" w:w="0"/>
        <w:jc w:val="center"/>
        <w:tblLayout w:type="fixed"/>
        <w:tblLook w:firstColumn="1" w:firstRow="1" w:lastColumn="0" w:lastRow="0" w:noHBand="0" w:noVBand="1" w:val="04A0"/>
      </w:tblPr>
      <w:tblGrid>
        <w:gridCol w:w="4968"/>
        <w:gridCol w:w="4968"/>
      </w:tblGrid>
      <w:tr>
        <w:tc>
          <w:tcPr>
            <w:tcW w:type="dxa" w:w="2304"/>
            <w:shd w:fill="D9EAF7"/>
            <w:tcMar>
              <w:top w:w="90" w:type="dxa"/>
              <w:start w:w="90" w:type="dxa"/>
              <w:bottom w:w="90" w:type="dxa"/>
              <w:end w:w="90" w:type="dxa"/>
            </w:tcMar>
            <w:vAlign w:val="center"/>
          </w:tcPr>
          <w:p>
            <w:r>
              <w:rPr>
                <w:b/>
              </w:rPr>
              <w:t>Version</w:t>
            </w:r>
          </w:p>
        </w:tc>
        <w:tc>
          <w:tcPr>
            <w:tcW w:type="dxa" w:w="6912"/>
            <w:tcMar>
              <w:top w:w="90" w:type="dxa"/>
              <w:start w:w="90" w:type="dxa"/>
              <w:bottom w:w="90" w:type="dxa"/>
              <w:end w:w="90" w:type="dxa"/>
            </w:tcMar>
            <w:vAlign w:val="center"/>
          </w:tcPr>
          <w:p>
            <w:r>
              <w:t>0.1 — Baseline Requirements</w:t>
            </w:r>
          </w:p>
        </w:tc>
        <w:trPr>
          <w:tblHeader/>
        </w:trPr>
      </w:tr>
      <w:tr>
        <w:tc>
          <w:tcPr>
            <w:tcW w:type="dxa" w:w="2304"/>
            <w:shd w:fill="D9EAF7"/>
            <w:tcMar>
              <w:top w:w="90" w:type="dxa"/>
              <w:start w:w="90" w:type="dxa"/>
              <w:bottom w:w="90" w:type="dxa"/>
              <w:end w:w="90" w:type="dxa"/>
            </w:tcMar>
            <w:vAlign w:val="center"/>
          </w:tcPr>
          <w:p>
            <w:r>
              <w:rPr>
                <w:b/>
              </w:rPr>
              <w:t>Date</w:t>
            </w:r>
          </w:p>
        </w:tc>
        <w:tc>
          <w:tcPr>
            <w:tcW w:type="dxa" w:w="6912"/>
            <w:tcMar>
              <w:top w:w="90" w:type="dxa"/>
              <w:start w:w="90" w:type="dxa"/>
              <w:bottom w:w="90" w:type="dxa"/>
              <w:end w:w="90" w:type="dxa"/>
            </w:tcMar>
            <w:vAlign w:val="center"/>
          </w:tcPr>
          <w:p>
            <w:r>
              <w:t>16 September 2026</w:t>
            </w:r>
          </w:p>
        </w:tc>
      </w:tr>
      <w:tr>
        <w:tc>
          <w:tcPr>
            <w:tcW w:type="dxa" w:w="2304"/>
            <w:shd w:fill="D9EAF7"/>
            <w:tcMar>
              <w:top w:w="90" w:type="dxa"/>
              <w:start w:w="90" w:type="dxa"/>
              <w:bottom w:w="90" w:type="dxa"/>
              <w:end w:w="90" w:type="dxa"/>
            </w:tcMar>
            <w:vAlign w:val="center"/>
          </w:tcPr>
          <w:p>
            <w:r>
              <w:rPr>
                <w:b/>
              </w:rPr>
              <w:t>Status</w:t>
            </w:r>
          </w:p>
        </w:tc>
        <w:tc>
          <w:tcPr>
            <w:tcW w:type="dxa" w:w="6912"/>
            <w:tcMar>
              <w:top w:w="90" w:type="dxa"/>
              <w:start w:w="90" w:type="dxa"/>
              <w:bottom w:w="90" w:type="dxa"/>
              <w:end w:w="90" w:type="dxa"/>
            </w:tcMar>
            <w:vAlign w:val="center"/>
          </w:tcPr>
          <w:p>
            <w:r>
              <w:t>Draft for technical and scientific review</w:t>
            </w:r>
          </w:p>
        </w:tc>
      </w:tr>
      <w:tr>
        <w:tc>
          <w:tcPr>
            <w:tcW w:type="dxa" w:w="2304"/>
            <w:shd w:fill="D9EAF7"/>
            <w:tcMar>
              <w:top w:w="90" w:type="dxa"/>
              <w:start w:w="90" w:type="dxa"/>
              <w:bottom w:w="90" w:type="dxa"/>
              <w:end w:w="90" w:type="dxa"/>
            </w:tcMar>
            <w:vAlign w:val="center"/>
          </w:tcPr>
          <w:p>
            <w:r>
              <w:rPr>
                <w:b/>
              </w:rPr>
              <w:t>Classification</w:t>
            </w:r>
          </w:p>
        </w:tc>
        <w:tc>
          <w:tcPr>
            <w:tcW w:type="dxa" w:w="6912"/>
            <w:tcMar>
              <w:top w:w="90" w:type="dxa"/>
              <w:start w:w="90" w:type="dxa"/>
              <w:bottom w:w="90" w:type="dxa"/>
              <w:end w:w="90" w:type="dxa"/>
            </w:tcMar>
            <w:vAlign w:val="center"/>
          </w:tcPr>
          <w:p>
            <w:r>
              <w:t>Internal working document</w:t>
            </w:r>
          </w:p>
        </w:tc>
      </w:tr>
    </w:tbl>
    <w:p/>
    <w:p>
      <w:pPr>
        <w:pStyle w:val="SmallNote"/>
        <w:jc w:val="center"/>
      </w:pPr>
      <w:r>
        <w:rPr>
          <w:i/>
        </w:rPr>
        <w:t>Important: This specification distinguishes established science, model-dependent hypotheses, speculative research, and unverified claims. It does not assume the existence of wormholes, stargates, or interdimensional portals.</w:t>
      </w:r>
    </w:p>
    <w:p>
      <w:r>
        <w:br w:type="page"/>
      </w:r>
    </w:p>
    <w:p>
      <w:pPr>
        <w:pStyle w:val="Heading1"/>
      </w:pPr>
      <w:r>
        <w:t>1. Executive Purpose</w:t>
      </w:r>
    </w:p>
    <w:p>
      <w:r>
        <w:t>The initiative aims to create a scientific and engineering discovery platform that helps humans investigate difficult physical questions, identify robust anomalies, compare explanations, discover better models, design efficient experiments, and improve engineering solutions over time. The platform should increase the amount of validated knowledge and useful engineering output obtained from finite energy, computation, instruments, money, materials, and human attention.</w:t>
      </w:r>
    </w:p>
    <w:p>
      <w:r>
        <w:t>The initiative is deliberately broader than a “wormhole detector.” Wormholes, stargates, interdimensional portals, unknown physics, advanced energy systems, quantum effects, chemistry, and materials are treated as research areas or hypotheses within a larger evidence-driven framework.</w:t>
      </w:r>
    </w:p>
    <w:p>
      <w:pPr>
        <w:pStyle w:val="Heading1"/>
      </w:pPr>
      <w:r>
        <w:t>2. Vision</w:t>
      </w:r>
    </w:p>
    <w:p>
      <w:r>
        <w:t>Create a continuously improving research environment in which observations can be converted into testable hypotheses, hypotheses can be simulated and challenged, experiments can be prioritized by expected information gained per resource consumed, and successful discoveries can be translated into practical engineering designs.</w:t>
      </w:r>
    </w:p>
    <w:p>
      <w:pPr>
        <w:pStyle w:val="Heading1"/>
      </w:pPr>
      <w:r>
        <w:t>3. Mission</w:t>
      </w:r>
    </w:p>
    <w:p>
      <w:pPr>
        <w:pStyle w:val="ListBullet"/>
      </w:pPr>
      <w:r>
        <w:t>Expand the boundary between known and unknown through reproducible scientific investigation.</w:t>
      </w:r>
    </w:p>
    <w:p>
      <w:pPr>
        <w:pStyle w:val="ListBullet"/>
      </w:pPr>
      <w:r>
        <w:t>Reduce the cost of scientific exploration by using simulation, surrogate modeling, automation, and intelligent experiment selection.</w:t>
      </w:r>
    </w:p>
    <w:p>
      <w:pPr>
        <w:pStyle w:val="ListBullet"/>
      </w:pPr>
      <w:r>
        <w:t>Bridge physics, quantum science, chemistry, materials, energy, information, computation, and engineering.</w:t>
      </w:r>
    </w:p>
    <w:p>
      <w:pPr>
        <w:pStyle w:val="ListBullet"/>
      </w:pPr>
      <w:r>
        <w:t>Preserve both successful and failed ideas so the system learns from negative knowledge.</w:t>
      </w:r>
    </w:p>
    <w:p>
      <w:pPr>
        <w:pStyle w:val="ListBullet"/>
      </w:pPr>
      <w:r>
        <w:t>Give humans clear evidence, uncertainty, alternatives, and trade-offs rather than opaque AI conclusions.</w:t>
      </w:r>
    </w:p>
    <w:p>
      <w:pPr>
        <w:pStyle w:val="Heading1"/>
      </w:pPr>
      <w:r>
        <w:t>4. Who the System Serves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Stakeholder</w:t>
            </w:r>
          </w:p>
        </w:tc>
        <w:tc>
          <w:tcPr>
            <w:tcW w:type="dxa" w:w="4968"/>
            <w:shd w:fill="17365D"/>
            <w:tcMar>
              <w:top w:w="90" w:type="dxa"/>
              <w:start w:w="90" w:type="dxa"/>
              <w:bottom w:w="90" w:type="dxa"/>
              <w:end w:w="90" w:type="dxa"/>
            </w:tcMar>
          </w:tcPr>
          <w:p>
            <w:r>
              <w:rPr>
                <w:b/>
                <w:color w:val="FFFFFF"/>
                <w:sz w:val="18"/>
              </w:rPr>
              <w:t>Primary needs</w:t>
            </w:r>
          </w:p>
        </w:tc>
      </w:tr>
      <w:tr>
        <w:tc>
          <w:tcPr>
            <w:tcW w:type="dxa" w:w="4968"/>
            <w:tcMar>
              <w:top w:w="90" w:type="dxa"/>
              <w:start w:w="90" w:type="dxa"/>
              <w:bottom w:w="90" w:type="dxa"/>
              <w:end w:w="90" w:type="dxa"/>
            </w:tcMar>
            <w:vAlign w:val="top"/>
          </w:tcPr>
          <w:p>
            <w:r>
              <w:rPr>
                <w:sz w:val="17"/>
              </w:rPr>
              <w:t>Scientific researchers</w:t>
            </w:r>
          </w:p>
        </w:tc>
        <w:tc>
          <w:tcPr>
            <w:tcW w:type="dxa" w:w="4968"/>
            <w:tcMar>
              <w:top w:w="90" w:type="dxa"/>
              <w:start w:w="90" w:type="dxa"/>
              <w:bottom w:w="90" w:type="dxa"/>
              <w:end w:w="90" w:type="dxa"/>
            </w:tcMar>
            <w:vAlign w:val="top"/>
          </w:tcPr>
          <w:p>
            <w:r>
              <w:rPr>
                <w:sz w:val="17"/>
              </w:rPr>
              <w:t>Hypothesis generation, simulation, model comparison, reproducibility</w:t>
            </w:r>
          </w:p>
        </w:tc>
      </w:tr>
      <w:tr>
        <w:tc>
          <w:tcPr>
            <w:tcW w:type="dxa" w:w="4968"/>
            <w:tcMar>
              <w:top w:w="90" w:type="dxa"/>
              <w:start w:w="90" w:type="dxa"/>
              <w:bottom w:w="90" w:type="dxa"/>
              <w:end w:w="90" w:type="dxa"/>
            </w:tcMar>
            <w:vAlign w:val="top"/>
          </w:tcPr>
          <w:p>
            <w:r>
              <w:rPr>
                <w:sz w:val="17"/>
              </w:rPr>
              <w:t>Engineers</w:t>
            </w:r>
          </w:p>
        </w:tc>
        <w:tc>
          <w:tcPr>
            <w:tcW w:type="dxa" w:w="4968"/>
            <w:tcMar>
              <w:top w:w="90" w:type="dxa"/>
              <w:start w:w="90" w:type="dxa"/>
              <w:bottom w:w="90" w:type="dxa"/>
              <w:end w:w="90" w:type="dxa"/>
            </w:tcMar>
            <w:vAlign w:val="top"/>
          </w:tcPr>
          <w:p>
            <w:r>
              <w:rPr>
                <w:sz w:val="17"/>
              </w:rPr>
              <w:t>Design optimization, energy/exergy analysis, materials and system trade-offs</w:t>
            </w:r>
          </w:p>
        </w:tc>
      </w:tr>
      <w:tr>
        <w:tc>
          <w:tcPr>
            <w:tcW w:type="dxa" w:w="4968"/>
            <w:tcMar>
              <w:top w:w="90" w:type="dxa"/>
              <w:start w:w="90" w:type="dxa"/>
              <w:bottom w:w="90" w:type="dxa"/>
              <w:end w:w="90" w:type="dxa"/>
            </w:tcMar>
            <w:vAlign w:val="top"/>
          </w:tcPr>
          <w:p>
            <w:r>
              <w:rPr>
                <w:sz w:val="17"/>
              </w:rPr>
              <w:t>Data scientists/ML teams</w:t>
            </w:r>
          </w:p>
        </w:tc>
        <w:tc>
          <w:tcPr>
            <w:tcW w:type="dxa" w:w="4968"/>
            <w:tcMar>
              <w:top w:w="90" w:type="dxa"/>
              <w:start w:w="90" w:type="dxa"/>
              <w:bottom w:w="90" w:type="dxa"/>
              <w:end w:w="90" w:type="dxa"/>
            </w:tcMar>
            <w:vAlign w:val="top"/>
          </w:tcPr>
          <w:p>
            <w:r>
              <w:rPr>
                <w:sz w:val="17"/>
              </w:rPr>
              <w:t>Data pipelines, benchmarks, anomaly detection, model governance</w:t>
            </w:r>
          </w:p>
        </w:tc>
      </w:tr>
      <w:tr>
        <w:tc>
          <w:tcPr>
            <w:tcW w:type="dxa" w:w="4968"/>
            <w:tcMar>
              <w:top w:w="90" w:type="dxa"/>
              <w:start w:w="90" w:type="dxa"/>
              <w:bottom w:w="90" w:type="dxa"/>
              <w:end w:w="90" w:type="dxa"/>
            </w:tcMar>
            <w:vAlign w:val="top"/>
          </w:tcPr>
          <w:p>
            <w:r>
              <w:rPr>
                <w:sz w:val="17"/>
              </w:rPr>
              <w:t>Laboratory teams</w:t>
            </w:r>
          </w:p>
        </w:tc>
        <w:tc>
          <w:tcPr>
            <w:tcW w:type="dxa" w:w="4968"/>
            <w:tcMar>
              <w:top w:w="90" w:type="dxa"/>
              <w:start w:w="90" w:type="dxa"/>
              <w:bottom w:w="90" w:type="dxa"/>
              <w:end w:w="90" w:type="dxa"/>
            </w:tcMar>
            <w:vAlign w:val="top"/>
          </w:tcPr>
          <w:p>
            <w:r>
              <w:rPr>
                <w:sz w:val="17"/>
              </w:rPr>
              <w:t>Experiment planning, instrumentation, calibration, evidence capture</w:t>
            </w:r>
          </w:p>
        </w:tc>
      </w:tr>
      <w:tr>
        <w:tc>
          <w:tcPr>
            <w:tcW w:type="dxa" w:w="4968"/>
            <w:tcMar>
              <w:top w:w="90" w:type="dxa"/>
              <w:start w:w="90" w:type="dxa"/>
              <w:bottom w:w="90" w:type="dxa"/>
              <w:end w:w="90" w:type="dxa"/>
            </w:tcMar>
            <w:vAlign w:val="top"/>
          </w:tcPr>
          <w:p>
            <w:r>
              <w:rPr>
                <w:sz w:val="17"/>
              </w:rPr>
              <w:t>Program leadership</w:t>
            </w:r>
          </w:p>
        </w:tc>
        <w:tc>
          <w:tcPr>
            <w:tcW w:type="dxa" w:w="4968"/>
            <w:tcMar>
              <w:top w:w="90" w:type="dxa"/>
              <w:start w:w="90" w:type="dxa"/>
              <w:bottom w:w="90" w:type="dxa"/>
              <w:end w:w="90" w:type="dxa"/>
            </w:tcMar>
            <w:vAlign w:val="top"/>
          </w:tcPr>
          <w:p>
            <w:r>
              <w:rPr>
                <w:sz w:val="17"/>
              </w:rPr>
              <w:t>Portfolio visibility, cost, risk, milestones, scientific evidence</w:t>
            </w:r>
          </w:p>
        </w:tc>
      </w:tr>
      <w:tr>
        <w:tc>
          <w:tcPr>
            <w:tcW w:type="dxa" w:w="4968"/>
            <w:tcMar>
              <w:top w:w="90" w:type="dxa"/>
              <w:start w:w="90" w:type="dxa"/>
              <w:bottom w:w="90" w:type="dxa"/>
              <w:end w:w="90" w:type="dxa"/>
            </w:tcMar>
            <w:vAlign w:val="top"/>
          </w:tcPr>
          <w:p>
            <w:r>
              <w:rPr>
                <w:sz w:val="17"/>
              </w:rPr>
              <w:t>Independent reviewers</w:t>
            </w:r>
          </w:p>
        </w:tc>
        <w:tc>
          <w:tcPr>
            <w:tcW w:type="dxa" w:w="4968"/>
            <w:tcMar>
              <w:top w:w="90" w:type="dxa"/>
              <w:start w:w="90" w:type="dxa"/>
              <w:bottom w:w="90" w:type="dxa"/>
              <w:end w:w="90" w:type="dxa"/>
            </w:tcMar>
            <w:vAlign w:val="top"/>
          </w:tcPr>
          <w:p>
            <w:r>
              <w:rPr>
                <w:sz w:val="17"/>
              </w:rPr>
              <w:t>Auditability, provenance, replication, challenge of claims</w:t>
            </w:r>
          </w:p>
        </w:tc>
      </w:tr>
      <w:tr>
        <w:tc>
          <w:tcPr>
            <w:tcW w:type="dxa" w:w="4968"/>
            <w:tcMar>
              <w:top w:w="90" w:type="dxa"/>
              <w:start w:w="90" w:type="dxa"/>
              <w:bottom w:w="90" w:type="dxa"/>
              <w:end w:w="90" w:type="dxa"/>
            </w:tcMar>
            <w:vAlign w:val="top"/>
          </w:tcPr>
          <w:p>
            <w:r>
              <w:rPr>
                <w:sz w:val="17"/>
              </w:rPr>
              <w:t>Future partners</w:t>
            </w:r>
          </w:p>
        </w:tc>
        <w:tc>
          <w:tcPr>
            <w:tcW w:type="dxa" w:w="4968"/>
            <w:tcMar>
              <w:top w:w="90" w:type="dxa"/>
              <w:start w:w="90" w:type="dxa"/>
              <w:bottom w:w="90" w:type="dxa"/>
              <w:end w:w="90" w:type="dxa"/>
            </w:tcMar>
            <w:vAlign w:val="top"/>
          </w:tcPr>
          <w:p>
            <w:r>
              <w:rPr>
                <w:sz w:val="17"/>
              </w:rPr>
              <w:t>Interoperable APIs, documented data rights, validated modules</w:t>
            </w:r>
          </w:p>
        </w:tc>
      </w:tr>
    </w:tbl>
    <w:p/>
    <w:p>
      <w:pPr>
        <w:pStyle w:val="Heading1"/>
      </w:pPr>
      <w:r>
        <w:t>5. Business / Program Outcomes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7365D"/>
            <w:tcMar>
              <w:top w:w="90" w:type="dxa"/>
              <w:start w:w="90" w:type="dxa"/>
              <w:bottom w:w="90" w:type="dxa"/>
              <w:end w:w="90" w:type="dxa"/>
            </w:tcMar>
          </w:tcPr>
          <w:p>
            <w:r>
              <w:rPr>
                <w:b/>
                <w:color w:val="FFFFFF"/>
                <w:sz w:val="18"/>
              </w:rPr>
              <w:t>ID</w:t>
            </w:r>
          </w:p>
        </w:tc>
        <w:tc>
          <w:tcPr>
            <w:tcW w:type="dxa" w:w="5112"/>
            <w:shd w:fill="17365D"/>
            <w:tcMar>
              <w:top w:w="90" w:type="dxa"/>
              <w:start w:w="90" w:type="dxa"/>
              <w:bottom w:w="90" w:type="dxa"/>
              <w:end w:w="90" w:type="dxa"/>
            </w:tcMar>
          </w:tcPr>
          <w:p>
            <w:r>
              <w:rPr>
                <w:b/>
                <w:color w:val="FFFFFF"/>
                <w:sz w:val="18"/>
              </w:rPr>
              <w:t>Requirement</w:t>
            </w:r>
          </w:p>
        </w:tc>
        <w:tc>
          <w:tcPr>
            <w:tcW w:type="dxa" w:w="1224"/>
            <w:shd w:fill="17365D"/>
            <w:tcMar>
              <w:top w:w="90" w:type="dxa"/>
              <w:start w:w="90" w:type="dxa"/>
              <w:bottom w:w="90" w:type="dxa"/>
              <w:end w:w="90" w:type="dxa"/>
            </w:tcMar>
          </w:tcPr>
          <w:p>
            <w:r>
              <w:rPr>
                <w:b/>
                <w:color w:val="FFFFFF"/>
                <w:sz w:val="18"/>
              </w:rPr>
              <w:t>Priority</w:t>
            </w:r>
          </w:p>
        </w:tc>
        <w:tc>
          <w:tcPr>
            <w:tcW w:type="dxa" w:w="2880"/>
            <w:shd w:fill="17365D"/>
            <w:tcMar>
              <w:top w:w="90" w:type="dxa"/>
              <w:start w:w="90" w:type="dxa"/>
              <w:bottom w:w="90" w:type="dxa"/>
              <w:end w:w="90" w:type="dxa"/>
            </w:tcMar>
          </w:tcPr>
          <w:p>
            <w:r>
              <w:rPr>
                <w:b/>
                <w:color w:val="FFFFFF"/>
                <w:sz w:val="18"/>
              </w:rPr>
              <w:t>Acceptance / Evidence</w:t>
            </w:r>
          </w:p>
        </w:tc>
      </w:tr>
      <w:tr>
        <w:tc>
          <w:tcPr>
            <w:tcW w:type="dxa" w:w="1440"/>
            <w:tcMar>
              <w:top w:w="90" w:type="dxa"/>
              <w:start w:w="90" w:type="dxa"/>
              <w:bottom w:w="90" w:type="dxa"/>
              <w:end w:w="90" w:type="dxa"/>
            </w:tcMar>
            <w:vAlign w:val="top"/>
          </w:tcPr>
          <w:p>
            <w:r>
              <w:rPr>
                <w:sz w:val="17"/>
              </w:rPr>
              <w:t>NR-001</w:t>
            </w:r>
          </w:p>
        </w:tc>
        <w:tc>
          <w:tcPr>
            <w:tcW w:type="dxa" w:w="5112"/>
            <w:tcMar>
              <w:top w:w="90" w:type="dxa"/>
              <w:start w:w="90" w:type="dxa"/>
              <w:bottom w:w="90" w:type="dxa"/>
              <w:end w:w="90" w:type="dxa"/>
            </w:tcMar>
            <w:vAlign w:val="top"/>
          </w:tcPr>
          <w:p>
            <w:r>
              <w:rPr>
                <w:sz w:val="17"/>
              </w:rPr>
              <w:t>The program shall produce reproducible scientific results rather than opaque AI claims.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Independent reviewer can trace at least one result end-to-end.</w:t>
            </w:r>
          </w:p>
        </w:tc>
      </w:tr>
      <w:tr>
        <w:tc>
          <w:tcPr>
            <w:tcW w:type="dxa" w:w="1440"/>
            <w:tcMar>
              <w:top w:w="90" w:type="dxa"/>
              <w:start w:w="90" w:type="dxa"/>
              <w:bottom w:w="90" w:type="dxa"/>
              <w:end w:w="90" w:type="dxa"/>
            </w:tcMar>
            <w:vAlign w:val="top"/>
          </w:tcPr>
          <w:p>
            <w:r>
              <w:rPr>
                <w:sz w:val="17"/>
              </w:rPr>
              <w:t>NR-002</w:t>
            </w:r>
          </w:p>
        </w:tc>
        <w:tc>
          <w:tcPr>
            <w:tcW w:type="dxa" w:w="5112"/>
            <w:tcMar>
              <w:top w:w="90" w:type="dxa"/>
              <w:start w:w="90" w:type="dxa"/>
              <w:bottom w:w="90" w:type="dxa"/>
              <w:end w:w="90" w:type="dxa"/>
            </w:tcMar>
            <w:vAlign w:val="top"/>
          </w:tcPr>
          <w:p>
            <w:r>
              <w:rPr>
                <w:sz w:val="17"/>
              </w:rPr>
              <w:t>The program shall reduce the cost of exploratory scientific work through staged computation and automated testing.</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Measured resource savings versus baseline workflow.</w:t>
            </w:r>
          </w:p>
        </w:tc>
      </w:tr>
      <w:tr>
        <w:tc>
          <w:tcPr>
            <w:tcW w:type="dxa" w:w="1440"/>
            <w:tcMar>
              <w:top w:w="90" w:type="dxa"/>
              <w:start w:w="90" w:type="dxa"/>
              <w:bottom w:w="90" w:type="dxa"/>
              <w:end w:w="90" w:type="dxa"/>
            </w:tcMar>
            <w:vAlign w:val="top"/>
          </w:tcPr>
          <w:p>
            <w:r>
              <w:rPr>
                <w:sz w:val="17"/>
              </w:rPr>
              <w:t>NR-003</w:t>
            </w:r>
          </w:p>
        </w:tc>
        <w:tc>
          <w:tcPr>
            <w:tcW w:type="dxa" w:w="5112"/>
            <w:tcMar>
              <w:top w:w="90" w:type="dxa"/>
              <w:start w:w="90" w:type="dxa"/>
              <w:bottom w:w="90" w:type="dxa"/>
              <w:end w:w="90" w:type="dxa"/>
            </w:tcMar>
            <w:vAlign w:val="top"/>
          </w:tcPr>
          <w:p>
            <w:r>
              <w:rPr>
                <w:sz w:val="17"/>
              </w:rPr>
              <w:t>The program shall preserve uncertainty and competing explanations in all decision-support outputs.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User-facing result shows evidence and alternatives.</w:t>
            </w:r>
          </w:p>
        </w:tc>
      </w:tr>
      <w:tr>
        <w:tc>
          <w:tcPr>
            <w:tcW w:type="dxa" w:w="1440"/>
            <w:tcMar>
              <w:top w:w="90" w:type="dxa"/>
              <w:start w:w="90" w:type="dxa"/>
              <w:bottom w:w="90" w:type="dxa"/>
              <w:end w:w="90" w:type="dxa"/>
            </w:tcMar>
            <w:vAlign w:val="top"/>
          </w:tcPr>
          <w:p>
            <w:r>
              <w:rPr>
                <w:sz w:val="17"/>
              </w:rPr>
              <w:t>NR-004</w:t>
            </w:r>
          </w:p>
        </w:tc>
        <w:tc>
          <w:tcPr>
            <w:tcW w:type="dxa" w:w="5112"/>
            <w:tcMar>
              <w:top w:w="90" w:type="dxa"/>
              <w:start w:w="90" w:type="dxa"/>
              <w:bottom w:w="90" w:type="dxa"/>
              <w:end w:w="90" w:type="dxa"/>
            </w:tcMar>
            <w:vAlign w:val="top"/>
          </w:tcPr>
          <w:p>
            <w:r>
              <w:rPr>
                <w:sz w:val="17"/>
              </w:rPr>
              <w:t>The program shall support continuous improvement without silently changing scientific ground truth or governance rules.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Change-control and rollback evidence.</w:t>
            </w:r>
          </w:p>
        </w:tc>
      </w:tr>
      <w:tr>
        <w:tc>
          <w:tcPr>
            <w:tcW w:type="dxa" w:w="1440"/>
            <w:tcMar>
              <w:top w:w="90" w:type="dxa"/>
              <w:start w:w="90" w:type="dxa"/>
              <w:bottom w:w="90" w:type="dxa"/>
              <w:end w:w="90" w:type="dxa"/>
            </w:tcMar>
            <w:vAlign w:val="top"/>
          </w:tcPr>
          <w:p>
            <w:r>
              <w:rPr>
                <w:sz w:val="17"/>
              </w:rPr>
              <w:t>NR-005</w:t>
            </w:r>
          </w:p>
        </w:tc>
        <w:tc>
          <w:tcPr>
            <w:tcW w:type="dxa" w:w="5112"/>
            <w:tcMar>
              <w:top w:w="90" w:type="dxa"/>
              <w:start w:w="90" w:type="dxa"/>
              <w:bottom w:w="90" w:type="dxa"/>
              <w:end w:w="90" w:type="dxa"/>
            </w:tcMar>
            <w:vAlign w:val="top"/>
          </w:tcPr>
          <w:p>
            <w:r>
              <w:rPr>
                <w:sz w:val="17"/>
              </w:rPr>
              <w:t>The program shall provide clear separation between established science, inference, hypothesis, simulation, and speculation.</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Status labels visible in reports and interfaces.</w:t>
            </w:r>
          </w:p>
        </w:tc>
      </w:tr>
      <w:tr>
        <w:tc>
          <w:tcPr>
            <w:tcW w:type="dxa" w:w="1440"/>
            <w:tcMar>
              <w:top w:w="90" w:type="dxa"/>
              <w:start w:w="90" w:type="dxa"/>
              <w:bottom w:w="90" w:type="dxa"/>
              <w:end w:w="90" w:type="dxa"/>
            </w:tcMar>
            <w:vAlign w:val="top"/>
          </w:tcPr>
          <w:p>
            <w:r>
              <w:rPr>
                <w:sz w:val="17"/>
              </w:rPr>
              <w:t>NR-006</w:t>
            </w:r>
          </w:p>
        </w:tc>
        <w:tc>
          <w:tcPr>
            <w:tcW w:type="dxa" w:w="5112"/>
            <w:tcMar>
              <w:top w:w="90" w:type="dxa"/>
              <w:start w:w="90" w:type="dxa"/>
              <w:bottom w:w="90" w:type="dxa"/>
              <w:end w:w="90" w:type="dxa"/>
            </w:tcMar>
            <w:vAlign w:val="top"/>
          </w:tcPr>
          <w:p>
            <w:r>
              <w:rPr>
                <w:sz w:val="17"/>
              </w:rPr>
              <w:t>The program shall prioritize practical engineering opportunities where validated improvements can be translated to lower cost, energy use, materials use, or measurement burden.</w:t>
            </w:r>
          </w:p>
        </w:tc>
        <w:tc>
          <w:tcPr>
            <w:tcW w:type="dxa" w:w="1224"/>
            <w:tcMar>
              <w:top w:w="90" w:type="dxa"/>
              <w:start w:w="90" w:type="dxa"/>
              <w:bottom w:w="90" w:type="dxa"/>
              <w:end w:w="90" w:type="dxa"/>
            </w:tcMar>
            <w:vAlign w:val="top"/>
          </w:tcPr>
          <w:p>
            <w:r>
              <w:rPr>
                <w:sz w:val="17"/>
              </w:rPr>
              <w:t>SHOULD</w:t>
            </w:r>
          </w:p>
        </w:tc>
        <w:tc>
          <w:tcPr>
            <w:tcW w:type="dxa" w:w="2880"/>
            <w:tcMar>
              <w:top w:w="90" w:type="dxa"/>
              <w:start w:w="90" w:type="dxa"/>
              <w:bottom w:w="90" w:type="dxa"/>
              <w:end w:w="90" w:type="dxa"/>
            </w:tcMar>
            <w:vAlign w:val="top"/>
          </w:tcPr>
          <w:p>
            <w:r>
              <w:rPr>
                <w:sz w:val="17"/>
              </w:rPr>
              <w:t>Portfolio contains documented engineering cases.</w:t>
            </w:r>
          </w:p>
        </w:tc>
      </w:tr>
    </w:tbl>
    <w:p/>
    <w:p>
      <w:pPr>
        <w:pStyle w:val="Heading1"/>
      </w:pPr>
      <w:r>
        <w:t>6. Core Product Principles</w:t>
      </w:r>
    </w:p>
    <w:p>
      <w:pPr>
        <w:pStyle w:val="ListNumber"/>
      </w:pPr>
      <w:r>
        <w:t>Scientific honesty: an unknown is allowed to remain unknown.</w:t>
      </w:r>
    </w:p>
    <w:p>
      <w:pPr>
        <w:pStyle w:val="ListNumber"/>
      </w:pPr>
      <w:r>
        <w:t>Falsifiability: every important claim should have a way it could be shown to be wrong.</w:t>
      </w:r>
    </w:p>
    <w:p>
      <w:pPr>
        <w:pStyle w:val="ListNumber"/>
      </w:pPr>
      <w:r>
        <w:t>Reproducibility: important results must be rerunnable by another person or process.</w:t>
      </w:r>
    </w:p>
    <w:p>
      <w:pPr>
        <w:pStyle w:val="ListNumber"/>
      </w:pPr>
      <w:r>
        <w:t>Traceability: every conclusion must point to data, assumptions, equations, code, and decision rules.</w:t>
      </w:r>
    </w:p>
    <w:p>
      <w:pPr>
        <w:pStyle w:val="ListNumber"/>
      </w:pPr>
      <w:r>
        <w:t>Cost awareness: energy, compute, materials, time, and operator attention are explicit resources.</w:t>
      </w:r>
    </w:p>
    <w:p>
      <w:pPr>
        <w:pStyle w:val="ListNumber"/>
      </w:pPr>
      <w:r>
        <w:t>Human accountability: humans remain responsible for high-consequence scientific and physical decisions.</w:t>
      </w:r>
    </w:p>
    <w:p>
      <w:pPr>
        <w:pStyle w:val="ListNumber"/>
      </w:pPr>
      <w:r>
        <w:t>Modularity: external LLMs, simulators, data sources, and hardware vendors remain replaceable.</w:t>
      </w:r>
    </w:p>
    <w:p>
      <w:pPr>
        <w:pStyle w:val="ListNumber"/>
      </w:pPr>
      <w:r>
        <w:t>Learning from failure: failed experiments and models are retained as structured knowledge.</w:t>
      </w:r>
    </w:p>
    <w:p>
      <w:pPr>
        <w:pStyle w:val="Heading1"/>
      </w:pPr>
      <w:r>
        <w:t>7. User Experience Requirements</w:t>
      </w:r>
    </w:p>
    <w:p>
      <w:pPr>
        <w:pStyle w:val="ListBullet"/>
      </w:pPr>
      <w:r>
        <w:t>A researcher shall be able to ask a question and see the exact data/model/evidence chain used to answer it.</w:t>
      </w:r>
    </w:p>
    <w:p>
      <w:pPr>
        <w:pStyle w:val="ListBullet"/>
      </w:pPr>
      <w:r>
        <w:t>A user shall be able to compare multiple explanations side by side without a hidden ranking that is presented as fact.</w:t>
      </w:r>
    </w:p>
    <w:p>
      <w:pPr>
        <w:pStyle w:val="ListBullet"/>
      </w:pPr>
      <w:r>
        <w:t>A user shall be able to inspect why a model was rejected, not only why another model survived.</w:t>
      </w:r>
    </w:p>
    <w:p>
      <w:pPr>
        <w:pStyle w:val="ListBullet"/>
      </w:pPr>
      <w:r>
        <w:t>A user shall see resource costs alongside scientific value.</w:t>
      </w:r>
    </w:p>
    <w:p>
      <w:pPr>
        <w:pStyle w:val="ListBullet"/>
      </w:pPr>
      <w:r>
        <w:t>A user shall be warned whenever a result is outside the validated domain of a model.</w:t>
      </w:r>
    </w:p>
    <w:p>
      <w:pPr>
        <w:pStyle w:val="ListBullet"/>
      </w:pPr>
      <w:r>
        <w:t>A user shall be able to reproduce a result from a saved research package.</w:t>
      </w:r>
    </w:p>
    <w:p>
      <w:pPr>
        <w:pStyle w:val="Heading1"/>
      </w:pPr>
      <w:r>
        <w:t>8. Scientific Decision Language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Status</w:t>
            </w:r>
          </w:p>
        </w:tc>
        <w:tc>
          <w:tcPr>
            <w:tcW w:type="dxa" w:w="4968"/>
            <w:shd w:fill="17365D"/>
            <w:tcMar>
              <w:top w:w="90" w:type="dxa"/>
              <w:start w:w="90" w:type="dxa"/>
              <w:bottom w:w="90" w:type="dxa"/>
              <w:end w:w="90" w:type="dxa"/>
            </w:tcMar>
          </w:tcPr>
          <w:p>
            <w:r>
              <w:rPr>
                <w:b/>
                <w:color w:val="FFFFFF"/>
                <w:sz w:val="18"/>
              </w:rPr>
              <w:t>User-facing meaning</w:t>
            </w:r>
          </w:p>
        </w:tc>
      </w:tr>
      <w:tr>
        <w:tc>
          <w:tcPr>
            <w:tcW w:type="dxa" w:w="4968"/>
            <w:tcMar>
              <w:top w:w="90" w:type="dxa"/>
              <w:start w:w="90" w:type="dxa"/>
              <w:bottom w:w="90" w:type="dxa"/>
              <w:end w:w="90" w:type="dxa"/>
            </w:tcMar>
            <w:vAlign w:val="top"/>
          </w:tcPr>
          <w:p>
            <w:r>
              <w:rPr>
                <w:sz w:val="17"/>
              </w:rPr>
              <w:t>Observed</w:t>
            </w:r>
          </w:p>
        </w:tc>
        <w:tc>
          <w:tcPr>
            <w:tcW w:type="dxa" w:w="4968"/>
            <w:tcMar>
              <w:top w:w="90" w:type="dxa"/>
              <w:start w:w="90" w:type="dxa"/>
              <w:bottom w:w="90" w:type="dxa"/>
              <w:end w:w="90" w:type="dxa"/>
            </w:tcMar>
            <w:vAlign w:val="top"/>
          </w:tcPr>
          <w:p>
            <w:r>
              <w:rPr>
                <w:sz w:val="17"/>
              </w:rPr>
              <w:t>Measurement or source record exists.</w:t>
            </w:r>
          </w:p>
        </w:tc>
      </w:tr>
      <w:tr>
        <w:tc>
          <w:tcPr>
            <w:tcW w:type="dxa" w:w="4968"/>
            <w:tcMar>
              <w:top w:w="90" w:type="dxa"/>
              <w:start w:w="90" w:type="dxa"/>
              <w:bottom w:w="90" w:type="dxa"/>
              <w:end w:w="90" w:type="dxa"/>
            </w:tcMar>
            <w:vAlign w:val="top"/>
          </w:tcPr>
          <w:p>
            <w:r>
              <w:rPr>
                <w:sz w:val="17"/>
              </w:rPr>
              <w:t>Calibrated</w:t>
            </w:r>
          </w:p>
        </w:tc>
        <w:tc>
          <w:tcPr>
            <w:tcW w:type="dxa" w:w="4968"/>
            <w:tcMar>
              <w:top w:w="90" w:type="dxa"/>
              <w:start w:w="90" w:type="dxa"/>
              <w:bottom w:w="90" w:type="dxa"/>
              <w:end w:w="90" w:type="dxa"/>
            </w:tcMar>
            <w:vAlign w:val="top"/>
          </w:tcPr>
          <w:p>
            <w:r>
              <w:rPr>
                <w:sz w:val="17"/>
              </w:rPr>
              <w:t>Instrument/data quality checks completed.</w:t>
            </w:r>
          </w:p>
        </w:tc>
      </w:tr>
      <w:tr>
        <w:tc>
          <w:tcPr>
            <w:tcW w:type="dxa" w:w="4968"/>
            <w:tcMar>
              <w:top w:w="90" w:type="dxa"/>
              <w:start w:w="90" w:type="dxa"/>
              <w:bottom w:w="90" w:type="dxa"/>
              <w:end w:w="90" w:type="dxa"/>
            </w:tcMar>
            <w:vAlign w:val="top"/>
          </w:tcPr>
          <w:p>
            <w:r>
              <w:rPr>
                <w:sz w:val="17"/>
              </w:rPr>
              <w:t>Anomalous</w:t>
            </w:r>
          </w:p>
        </w:tc>
        <w:tc>
          <w:tcPr>
            <w:tcW w:type="dxa" w:w="4968"/>
            <w:tcMar>
              <w:top w:w="90" w:type="dxa"/>
              <w:start w:w="90" w:type="dxa"/>
              <w:bottom w:w="90" w:type="dxa"/>
              <w:end w:w="90" w:type="dxa"/>
            </w:tcMar>
            <w:vAlign w:val="top"/>
          </w:tcPr>
          <w:p>
            <w:r>
              <w:rPr>
                <w:sz w:val="17"/>
              </w:rPr>
              <w:t>Observation is unusual relative to the selected null/background model.</w:t>
            </w:r>
          </w:p>
        </w:tc>
      </w:tr>
      <w:tr>
        <w:tc>
          <w:tcPr>
            <w:tcW w:type="dxa" w:w="4968"/>
            <w:tcMar>
              <w:top w:w="90" w:type="dxa"/>
              <w:start w:w="90" w:type="dxa"/>
              <w:bottom w:w="90" w:type="dxa"/>
              <w:end w:w="90" w:type="dxa"/>
            </w:tcMar>
            <w:vAlign w:val="top"/>
          </w:tcPr>
          <w:p>
            <w:r>
              <w:rPr>
                <w:sz w:val="17"/>
              </w:rPr>
              <w:t>Explained</w:t>
            </w:r>
          </w:p>
        </w:tc>
        <w:tc>
          <w:tcPr>
            <w:tcW w:type="dxa" w:w="4968"/>
            <w:tcMar>
              <w:top w:w="90" w:type="dxa"/>
              <w:start w:w="90" w:type="dxa"/>
              <w:bottom w:w="90" w:type="dxa"/>
              <w:end w:w="90" w:type="dxa"/>
            </w:tcMar>
            <w:vAlign w:val="top"/>
          </w:tcPr>
          <w:p>
            <w:r>
              <w:rPr>
                <w:sz w:val="17"/>
              </w:rPr>
              <w:t>A conventional or accepted model accounts for the observation within uncertainty.</w:t>
            </w:r>
          </w:p>
        </w:tc>
      </w:tr>
      <w:tr>
        <w:tc>
          <w:tcPr>
            <w:tcW w:type="dxa" w:w="4968"/>
            <w:tcMar>
              <w:top w:w="90" w:type="dxa"/>
              <w:start w:w="90" w:type="dxa"/>
              <w:bottom w:w="90" w:type="dxa"/>
              <w:end w:w="90" w:type="dxa"/>
            </w:tcMar>
            <w:vAlign w:val="top"/>
          </w:tcPr>
          <w:p>
            <w:r>
              <w:rPr>
                <w:sz w:val="17"/>
              </w:rPr>
              <w:t>Unexplained</w:t>
            </w:r>
          </w:p>
        </w:tc>
        <w:tc>
          <w:tcPr>
            <w:tcW w:type="dxa" w:w="4968"/>
            <w:tcMar>
              <w:top w:w="90" w:type="dxa"/>
              <w:start w:w="90" w:type="dxa"/>
              <w:bottom w:w="90" w:type="dxa"/>
              <w:end w:w="90" w:type="dxa"/>
            </w:tcMar>
            <w:vAlign w:val="top"/>
          </w:tcPr>
          <w:p>
            <w:r>
              <w:rPr>
                <w:sz w:val="17"/>
              </w:rPr>
              <w:t>No currently evaluated model adequately accounts for the observation.</w:t>
            </w:r>
          </w:p>
        </w:tc>
      </w:tr>
      <w:tr>
        <w:tc>
          <w:tcPr>
            <w:tcW w:type="dxa" w:w="4968"/>
            <w:tcMar>
              <w:top w:w="90" w:type="dxa"/>
              <w:start w:w="90" w:type="dxa"/>
              <w:bottom w:w="90" w:type="dxa"/>
              <w:end w:w="90" w:type="dxa"/>
            </w:tcMar>
            <w:vAlign w:val="top"/>
          </w:tcPr>
          <w:p>
            <w:r>
              <w:rPr>
                <w:sz w:val="17"/>
              </w:rPr>
              <w:t>Hypothesis</w:t>
            </w:r>
          </w:p>
        </w:tc>
        <w:tc>
          <w:tcPr>
            <w:tcW w:type="dxa" w:w="4968"/>
            <w:tcMar>
              <w:top w:w="90" w:type="dxa"/>
              <w:start w:w="90" w:type="dxa"/>
              <w:bottom w:w="90" w:type="dxa"/>
              <w:end w:w="90" w:type="dxa"/>
            </w:tcMar>
            <w:vAlign w:val="top"/>
          </w:tcPr>
          <w:p>
            <w:r>
              <w:rPr>
                <w:sz w:val="17"/>
              </w:rPr>
              <w:t>A candidate explanation exists but remains unvalidated.</w:t>
            </w:r>
          </w:p>
        </w:tc>
      </w:tr>
      <w:tr>
        <w:tc>
          <w:tcPr>
            <w:tcW w:type="dxa" w:w="4968"/>
            <w:tcMar>
              <w:top w:w="90" w:type="dxa"/>
              <w:start w:w="90" w:type="dxa"/>
              <w:bottom w:w="90" w:type="dxa"/>
              <w:end w:w="90" w:type="dxa"/>
            </w:tcMar>
            <w:vAlign w:val="top"/>
          </w:tcPr>
          <w:p>
            <w:r>
              <w:rPr>
                <w:sz w:val="17"/>
              </w:rPr>
              <w:t>Supported</w:t>
            </w:r>
          </w:p>
        </w:tc>
        <w:tc>
          <w:tcPr>
            <w:tcW w:type="dxa" w:w="4968"/>
            <w:tcMar>
              <w:top w:w="90" w:type="dxa"/>
              <w:start w:w="90" w:type="dxa"/>
              <w:bottom w:w="90" w:type="dxa"/>
              <w:end w:w="90" w:type="dxa"/>
            </w:tcMar>
            <w:vAlign w:val="top"/>
          </w:tcPr>
          <w:p>
            <w:r>
              <w:rPr>
                <w:sz w:val="17"/>
              </w:rPr>
              <w:t>Evidence favors the hypothesis under stated assumptions, with limitations documented.</w:t>
            </w:r>
          </w:p>
        </w:tc>
      </w:tr>
      <w:tr>
        <w:tc>
          <w:tcPr>
            <w:tcW w:type="dxa" w:w="4968"/>
            <w:tcMar>
              <w:top w:w="90" w:type="dxa"/>
              <w:start w:w="90" w:type="dxa"/>
              <w:bottom w:w="90" w:type="dxa"/>
              <w:end w:w="90" w:type="dxa"/>
            </w:tcMar>
            <w:vAlign w:val="top"/>
          </w:tcPr>
          <w:p>
            <w:r>
              <w:rPr>
                <w:sz w:val="17"/>
              </w:rPr>
              <w:t>Replicated</w:t>
            </w:r>
          </w:p>
        </w:tc>
        <w:tc>
          <w:tcPr>
            <w:tcW w:type="dxa" w:w="4968"/>
            <w:tcMar>
              <w:top w:w="90" w:type="dxa"/>
              <w:start w:w="90" w:type="dxa"/>
              <w:bottom w:w="90" w:type="dxa"/>
              <w:end w:w="90" w:type="dxa"/>
            </w:tcMar>
            <w:vAlign w:val="top"/>
          </w:tcPr>
          <w:p>
            <w:r>
              <w:rPr>
                <w:sz w:val="17"/>
              </w:rPr>
              <w:t>Independent data/processes reproduce the result.</w:t>
            </w:r>
          </w:p>
        </w:tc>
      </w:tr>
      <w:tr>
        <w:tc>
          <w:tcPr>
            <w:tcW w:type="dxa" w:w="4968"/>
            <w:tcMar>
              <w:top w:w="90" w:type="dxa"/>
              <w:start w:w="90" w:type="dxa"/>
              <w:bottom w:w="90" w:type="dxa"/>
              <w:end w:w="90" w:type="dxa"/>
            </w:tcMar>
            <w:vAlign w:val="top"/>
          </w:tcPr>
          <w:p>
            <w:r>
              <w:rPr>
                <w:sz w:val="17"/>
              </w:rPr>
              <w:t>Engineering-ready</w:t>
            </w:r>
          </w:p>
        </w:tc>
        <w:tc>
          <w:tcPr>
            <w:tcW w:type="dxa" w:w="4968"/>
            <w:tcMar>
              <w:top w:w="90" w:type="dxa"/>
              <w:start w:w="90" w:type="dxa"/>
              <w:bottom w:w="90" w:type="dxa"/>
              <w:end w:w="90" w:type="dxa"/>
            </w:tcMar>
            <w:vAlign w:val="top"/>
          </w:tcPr>
          <w:p>
            <w:r>
              <w:rPr>
                <w:sz w:val="17"/>
              </w:rPr>
              <w:t>Sufficient evidence and safety review exist for controlled practical use.</w:t>
            </w:r>
          </w:p>
        </w:tc>
      </w:tr>
    </w:tbl>
    <w:p/>
    <w:p>
      <w:pPr>
        <w:pStyle w:val="Heading1"/>
      </w:pPr>
      <w:r>
        <w:t>9. Energy, Quantum, Chemistry and Physics Operating Model</w:t>
      </w:r>
    </w:p>
    <w:p>
      <w:r>
        <w:t>The program shall not treat energy, quantum science, chemistry, materials, thermodynamics, information, and spacetime as isolated projects. They are separate scientific domains connected by explicit interfaces and shared accounting requirements.</w:t>
      </w:r>
    </w:p>
    <w:p>
      <w:pPr>
        <w:ind w:left="360" w:right="360"/>
      </w:pPr>
      <w:r>
        <w:rPr>
          <w:rFonts w:ascii="Consolas" w:hAnsi="Consolas"/>
          <w:sz w:val="17"/>
        </w:rPr>
        <w:t>FIELDS / SPACETIME / QUANTUM</w:t>
        <w:br/>
        <w:t xml:space="preserve">            ↕</w:t>
        <w:br/>
        <w:t xml:space="preserve">          MATTER</w:t>
        <w:br/>
        <w:t xml:space="preserve">            ↕</w:t>
        <w:br/>
        <w:t xml:space="preserve">  CHEMISTRY / MATERIALS / NUCLEAR</w:t>
        <w:br/>
        <w:t xml:space="preserve">            ↕</w:t>
        <w:br/>
        <w:t xml:space="preserve">     ENERGY / EXERGY / ENTROPY</w:t>
        <w:br/>
        <w:t xml:space="preserve">            ↕</w:t>
        <w:br/>
        <w:t xml:space="preserve">         INFORMATION</w:t>
        <w:br/>
        <w:t xml:space="preserve">            ↕</w:t>
        <w:br/>
        <w:t xml:space="preserve">  MEASUREMENT / COMPUTATION</w:t>
        <w:br/>
        <w:t xml:space="preserve">            ↕</w:t>
        <w:br/>
        <w:t xml:space="preserve">    ENGINEERING / EXPERIMENT</w:t>
        <w:br/>
        <w:t xml:space="preserve">            ↺</w:t>
      </w:r>
    </w:p>
    <w:p>
      <w:r>
        <w:t>The purpose of this coupling is not to claim a unified theory. It is to make interactions, resource flows, uncertainties, and model boundaries explicit.</w:t>
      </w:r>
    </w:p>
    <w:p>
      <w:pPr>
        <w:pStyle w:val="Heading1"/>
      </w:pPr>
      <w:r>
        <w:t>10. Self-Improvement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7365D"/>
            <w:tcMar>
              <w:top w:w="90" w:type="dxa"/>
              <w:start w:w="90" w:type="dxa"/>
              <w:bottom w:w="90" w:type="dxa"/>
              <w:end w:w="90" w:type="dxa"/>
            </w:tcMar>
          </w:tcPr>
          <w:p>
            <w:r>
              <w:rPr>
                <w:b/>
                <w:color w:val="FFFFFF"/>
                <w:sz w:val="18"/>
              </w:rPr>
              <w:t>ID</w:t>
            </w:r>
          </w:p>
        </w:tc>
        <w:tc>
          <w:tcPr>
            <w:tcW w:type="dxa" w:w="5112"/>
            <w:shd w:fill="17365D"/>
            <w:tcMar>
              <w:top w:w="90" w:type="dxa"/>
              <w:start w:w="90" w:type="dxa"/>
              <w:bottom w:w="90" w:type="dxa"/>
              <w:end w:w="90" w:type="dxa"/>
            </w:tcMar>
          </w:tcPr>
          <w:p>
            <w:r>
              <w:rPr>
                <w:b/>
                <w:color w:val="FFFFFF"/>
                <w:sz w:val="18"/>
              </w:rPr>
              <w:t>Requirement</w:t>
            </w:r>
          </w:p>
        </w:tc>
        <w:tc>
          <w:tcPr>
            <w:tcW w:type="dxa" w:w="1224"/>
            <w:shd w:fill="17365D"/>
            <w:tcMar>
              <w:top w:w="90" w:type="dxa"/>
              <w:start w:w="90" w:type="dxa"/>
              <w:bottom w:w="90" w:type="dxa"/>
              <w:end w:w="90" w:type="dxa"/>
            </w:tcMar>
          </w:tcPr>
          <w:p>
            <w:r>
              <w:rPr>
                <w:b/>
                <w:color w:val="FFFFFF"/>
                <w:sz w:val="18"/>
              </w:rPr>
              <w:t>Priority</w:t>
            </w:r>
          </w:p>
        </w:tc>
        <w:tc>
          <w:tcPr>
            <w:tcW w:type="dxa" w:w="2880"/>
            <w:shd w:fill="17365D"/>
            <w:tcMar>
              <w:top w:w="90" w:type="dxa"/>
              <w:start w:w="90" w:type="dxa"/>
              <w:bottom w:w="90" w:type="dxa"/>
              <w:end w:w="90" w:type="dxa"/>
            </w:tcMar>
          </w:tcPr>
          <w:p>
            <w:r>
              <w:rPr>
                <w:b/>
                <w:color w:val="FFFFFF"/>
                <w:sz w:val="18"/>
              </w:rPr>
              <w:t>Acceptance / Evidence</w:t>
            </w:r>
          </w:p>
        </w:tc>
      </w:tr>
      <w:tr>
        <w:tc>
          <w:tcPr>
            <w:tcW w:type="dxa" w:w="1440"/>
            <w:tcMar>
              <w:top w:w="90" w:type="dxa"/>
              <w:start w:w="90" w:type="dxa"/>
              <w:bottom w:w="90" w:type="dxa"/>
              <w:end w:w="90" w:type="dxa"/>
            </w:tcMar>
            <w:vAlign w:val="top"/>
          </w:tcPr>
          <w:p>
            <w:r>
              <w:rPr>
                <w:sz w:val="17"/>
              </w:rPr>
              <w:t>SI-001</w:t>
            </w:r>
          </w:p>
        </w:tc>
        <w:tc>
          <w:tcPr>
            <w:tcW w:type="dxa" w:w="5112"/>
            <w:tcMar>
              <w:top w:w="90" w:type="dxa"/>
              <w:start w:w="90" w:type="dxa"/>
              <w:bottom w:w="90" w:type="dxa"/>
              <w:end w:w="90" w:type="dxa"/>
            </w:tcMar>
            <w:vAlign w:val="top"/>
          </w:tcPr>
          <w:p>
            <w:r>
              <w:rPr>
                <w:sz w:val="17"/>
              </w:rPr>
              <w:t>The system shall be able to discover and test alternative models rather than only tune parameters of existing models.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Model-structure discovery demonstrated.</w:t>
            </w:r>
          </w:p>
        </w:tc>
      </w:tr>
      <w:tr>
        <w:tc>
          <w:tcPr>
            <w:tcW w:type="dxa" w:w="1440"/>
            <w:tcMar>
              <w:top w:w="90" w:type="dxa"/>
              <w:start w:w="90" w:type="dxa"/>
              <w:bottom w:w="90" w:type="dxa"/>
              <w:end w:w="90" w:type="dxa"/>
            </w:tcMar>
            <w:vAlign w:val="top"/>
          </w:tcPr>
          <w:p>
            <w:r>
              <w:rPr>
                <w:sz w:val="17"/>
              </w:rPr>
              <w:t>SI-002</w:t>
            </w:r>
          </w:p>
        </w:tc>
        <w:tc>
          <w:tcPr>
            <w:tcW w:type="dxa" w:w="5112"/>
            <w:tcMar>
              <w:top w:w="90" w:type="dxa"/>
              <w:start w:w="90" w:type="dxa"/>
              <w:bottom w:w="90" w:type="dxa"/>
              <w:end w:w="90" w:type="dxa"/>
            </w:tcMar>
            <w:vAlign w:val="top"/>
          </w:tcPr>
          <w:p>
            <w:r>
              <w:rPr>
                <w:sz w:val="17"/>
              </w:rPr>
              <w:t>The system shall retain failed hypotheses and failure conditions.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Failure knowledge retrievable and linked.</w:t>
            </w:r>
          </w:p>
        </w:tc>
      </w:tr>
      <w:tr>
        <w:tc>
          <w:tcPr>
            <w:tcW w:type="dxa" w:w="1440"/>
            <w:tcMar>
              <w:top w:w="90" w:type="dxa"/>
              <w:start w:w="90" w:type="dxa"/>
              <w:bottom w:w="90" w:type="dxa"/>
              <w:end w:w="90" w:type="dxa"/>
            </w:tcMar>
            <w:vAlign w:val="top"/>
          </w:tcPr>
          <w:p>
            <w:r>
              <w:rPr>
                <w:sz w:val="17"/>
              </w:rPr>
              <w:t>SI-003</w:t>
            </w:r>
          </w:p>
        </w:tc>
        <w:tc>
          <w:tcPr>
            <w:tcW w:type="dxa" w:w="5112"/>
            <w:tcMar>
              <w:top w:w="90" w:type="dxa"/>
              <w:start w:w="90" w:type="dxa"/>
              <w:bottom w:w="90" w:type="dxa"/>
              <w:end w:w="90" w:type="dxa"/>
            </w:tcMar>
            <w:vAlign w:val="top"/>
          </w:tcPr>
          <w:p>
            <w:r>
              <w:rPr>
                <w:sz w:val="17"/>
              </w:rPr>
              <w:t>The system shall evaluate whether its own assumptions may be causing repeated unexplained residuals.</w:t>
            </w:r>
          </w:p>
        </w:tc>
        <w:tc>
          <w:tcPr>
            <w:tcW w:type="dxa" w:w="1224"/>
            <w:tcMar>
              <w:top w:w="90" w:type="dxa"/>
              <w:start w:w="90" w:type="dxa"/>
              <w:bottom w:w="90" w:type="dxa"/>
              <w:end w:w="90" w:type="dxa"/>
            </w:tcMar>
            <w:vAlign w:val="top"/>
          </w:tcPr>
          <w:p>
            <w:r>
              <w:rPr>
                <w:sz w:val="17"/>
              </w:rPr>
              <w:t>SHOULD</w:t>
            </w:r>
          </w:p>
        </w:tc>
        <w:tc>
          <w:tcPr>
            <w:tcW w:type="dxa" w:w="2880"/>
            <w:tcMar>
              <w:top w:w="90" w:type="dxa"/>
              <w:start w:w="90" w:type="dxa"/>
              <w:bottom w:w="90" w:type="dxa"/>
              <w:end w:w="90" w:type="dxa"/>
            </w:tcMar>
            <w:vAlign w:val="top"/>
          </w:tcPr>
          <w:p>
            <w:r>
              <w:rPr>
                <w:sz w:val="17"/>
              </w:rPr>
              <w:t>Assumption-challenge workflow documented and tested.</w:t>
            </w:r>
          </w:p>
        </w:tc>
      </w:tr>
      <w:tr>
        <w:tc>
          <w:tcPr>
            <w:tcW w:type="dxa" w:w="1440"/>
            <w:tcMar>
              <w:top w:w="90" w:type="dxa"/>
              <w:start w:w="90" w:type="dxa"/>
              <w:bottom w:w="90" w:type="dxa"/>
              <w:end w:w="90" w:type="dxa"/>
            </w:tcMar>
            <w:vAlign w:val="top"/>
          </w:tcPr>
          <w:p>
            <w:r>
              <w:rPr>
                <w:sz w:val="17"/>
              </w:rPr>
              <w:t>SI-004</w:t>
            </w:r>
          </w:p>
        </w:tc>
        <w:tc>
          <w:tcPr>
            <w:tcW w:type="dxa" w:w="5112"/>
            <w:tcMar>
              <w:top w:w="90" w:type="dxa"/>
              <w:start w:w="90" w:type="dxa"/>
              <w:bottom w:w="90" w:type="dxa"/>
              <w:end w:w="90" w:type="dxa"/>
            </w:tcMar>
            <w:vAlign w:val="top"/>
          </w:tcPr>
          <w:p>
            <w:r>
              <w:rPr>
                <w:sz w:val="17"/>
              </w:rPr>
              <w:t>No self-improvement shall be promoted solely on internal consistency; external or held-out evidence is required.</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Promotion checklist enforces external evidence.</w:t>
            </w:r>
          </w:p>
        </w:tc>
      </w:tr>
      <w:tr>
        <w:tc>
          <w:tcPr>
            <w:tcW w:type="dxa" w:w="1440"/>
            <w:tcMar>
              <w:top w:w="90" w:type="dxa"/>
              <w:start w:w="90" w:type="dxa"/>
              <w:bottom w:w="90" w:type="dxa"/>
              <w:end w:w="90" w:type="dxa"/>
            </w:tcMar>
            <w:vAlign w:val="top"/>
          </w:tcPr>
          <w:p>
            <w:r>
              <w:rPr>
                <w:sz w:val="17"/>
              </w:rPr>
              <w:t>SI-005</w:t>
            </w:r>
          </w:p>
        </w:tc>
        <w:tc>
          <w:tcPr>
            <w:tcW w:type="dxa" w:w="5112"/>
            <w:tcMar>
              <w:top w:w="90" w:type="dxa"/>
              <w:start w:w="90" w:type="dxa"/>
              <w:bottom w:w="90" w:type="dxa"/>
              <w:end w:w="90" w:type="dxa"/>
            </w:tcMar>
            <w:vAlign w:val="top"/>
          </w:tcPr>
          <w:p>
            <w:r>
              <w:rPr>
                <w:sz w:val="17"/>
              </w:rPr>
              <w:t>Every promoted change shall have rollback and comparison evidence.</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Reversion test.</w:t>
            </w:r>
          </w:p>
        </w:tc>
      </w:tr>
    </w:tbl>
    <w:p/>
    <w:p>
      <w:pPr>
        <w:pStyle w:val="Heading1"/>
      </w:pPr>
      <w:r>
        <w:t>11. Role of External LLMs</w:t>
      </w:r>
    </w:p>
    <w:p>
      <w:r>
        <w:t>External LLMs are optional acceleration tools, not scientific authorities. They may support literature synthesis, code drafting, documentation, candidate hypothesis organization, user interfaces, and research planning. The core platform shall remain operable without a specific external LLM provider.</w:t>
      </w:r>
    </w:p>
    <w:p>
      <w:pPr>
        <w:pStyle w:val="ListBullet"/>
      </w:pPr>
      <w:r>
        <w:t>LLM-generated claims must carry provenance and confidence/status labels.</w:t>
      </w:r>
    </w:p>
    <w:p>
      <w:pPr>
        <w:pStyle w:val="ListBullet"/>
      </w:pPr>
      <w:r>
        <w:t>LLM output cannot promote an equation, model, or scientific discovery.</w:t>
      </w:r>
    </w:p>
    <w:p>
      <w:pPr>
        <w:pStyle w:val="ListBullet"/>
      </w:pPr>
      <w:r>
        <w:t>Scientific acceptance remains controlled by mathematical tests, simulations, evidence, and human review as appropriate.</w:t>
      </w:r>
    </w:p>
    <w:p>
      <w:pPr>
        <w:pStyle w:val="ListBullet"/>
      </w:pPr>
      <w:r>
        <w:t>The architecture should allow future substitution by an internal domain model trained on validated project knowledge.</w:t>
      </w:r>
    </w:p>
    <w:p>
      <w:pPr>
        <w:pStyle w:val="Heading1"/>
      </w:pPr>
      <w:r>
        <w:t>12. Governance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Governance body</w:t>
            </w:r>
          </w:p>
        </w:tc>
        <w:tc>
          <w:tcPr>
            <w:tcW w:type="dxa" w:w="4968"/>
            <w:shd w:fill="17365D"/>
            <w:tcMar>
              <w:top w:w="90" w:type="dxa"/>
              <w:start w:w="90" w:type="dxa"/>
              <w:bottom w:w="90" w:type="dxa"/>
              <w:end w:w="90" w:type="dxa"/>
            </w:tcMar>
          </w:tcPr>
          <w:p>
            <w:r>
              <w:rPr>
                <w:b/>
                <w:color w:val="FFFFFF"/>
                <w:sz w:val="18"/>
              </w:rPr>
              <w:t>Responsibilities</w:t>
            </w:r>
          </w:p>
        </w:tc>
      </w:tr>
      <w:tr>
        <w:tc>
          <w:tcPr>
            <w:tcW w:type="dxa" w:w="4968"/>
            <w:tcMar>
              <w:top w:w="90" w:type="dxa"/>
              <w:start w:w="90" w:type="dxa"/>
              <w:bottom w:w="90" w:type="dxa"/>
              <w:end w:w="90" w:type="dxa"/>
            </w:tcMar>
            <w:vAlign w:val="top"/>
          </w:tcPr>
          <w:p>
            <w:r>
              <w:rPr>
                <w:sz w:val="17"/>
              </w:rPr>
              <w:t>Scientific Review Group</w:t>
            </w:r>
          </w:p>
        </w:tc>
        <w:tc>
          <w:tcPr>
            <w:tcW w:type="dxa" w:w="4968"/>
            <w:tcMar>
              <w:top w:w="90" w:type="dxa"/>
              <w:start w:w="90" w:type="dxa"/>
              <w:bottom w:w="90" w:type="dxa"/>
              <w:end w:w="90" w:type="dxa"/>
            </w:tcMar>
            <w:vAlign w:val="top"/>
          </w:tcPr>
          <w:p>
            <w:r>
              <w:rPr>
                <w:sz w:val="17"/>
              </w:rPr>
              <w:t>Theory/model validity, evidence standards, domain boundaries</w:t>
            </w:r>
          </w:p>
        </w:tc>
      </w:tr>
      <w:tr>
        <w:tc>
          <w:tcPr>
            <w:tcW w:type="dxa" w:w="4968"/>
            <w:tcMar>
              <w:top w:w="90" w:type="dxa"/>
              <w:start w:w="90" w:type="dxa"/>
              <w:bottom w:w="90" w:type="dxa"/>
              <w:end w:w="90" w:type="dxa"/>
            </w:tcMar>
            <w:vAlign w:val="top"/>
          </w:tcPr>
          <w:p>
            <w:r>
              <w:rPr>
                <w:sz w:val="17"/>
              </w:rPr>
              <w:t>Engineering Review Group</w:t>
            </w:r>
          </w:p>
        </w:tc>
        <w:tc>
          <w:tcPr>
            <w:tcW w:type="dxa" w:w="4968"/>
            <w:tcMar>
              <w:top w:w="90" w:type="dxa"/>
              <w:start w:w="90" w:type="dxa"/>
              <w:bottom w:w="90" w:type="dxa"/>
              <w:end w:w="90" w:type="dxa"/>
            </w:tcMar>
            <w:vAlign w:val="top"/>
          </w:tcPr>
          <w:p>
            <w:r>
              <w:rPr>
                <w:sz w:val="17"/>
              </w:rPr>
              <w:t>Software, simulation, instrumentation, reliability, cost</w:t>
            </w:r>
          </w:p>
        </w:tc>
      </w:tr>
      <w:tr>
        <w:tc>
          <w:tcPr>
            <w:tcW w:type="dxa" w:w="4968"/>
            <w:tcMar>
              <w:top w:w="90" w:type="dxa"/>
              <w:start w:w="90" w:type="dxa"/>
              <w:bottom w:w="90" w:type="dxa"/>
              <w:end w:w="90" w:type="dxa"/>
            </w:tcMar>
            <w:vAlign w:val="top"/>
          </w:tcPr>
          <w:p>
            <w:r>
              <w:rPr>
                <w:sz w:val="17"/>
              </w:rPr>
              <w:t>Data &amp; Provenance Stewardship</w:t>
            </w:r>
          </w:p>
        </w:tc>
        <w:tc>
          <w:tcPr>
            <w:tcW w:type="dxa" w:w="4968"/>
            <w:tcMar>
              <w:top w:w="90" w:type="dxa"/>
              <w:start w:w="90" w:type="dxa"/>
              <w:bottom w:w="90" w:type="dxa"/>
              <w:end w:w="90" w:type="dxa"/>
            </w:tcMar>
            <w:vAlign w:val="top"/>
          </w:tcPr>
          <w:p>
            <w:r>
              <w:rPr>
                <w:sz w:val="17"/>
              </w:rPr>
              <w:t>Data rights, lineage, integrity, reproducibility</w:t>
            </w:r>
          </w:p>
        </w:tc>
      </w:tr>
      <w:tr>
        <w:tc>
          <w:tcPr>
            <w:tcW w:type="dxa" w:w="4968"/>
            <w:tcMar>
              <w:top w:w="90" w:type="dxa"/>
              <w:start w:w="90" w:type="dxa"/>
              <w:bottom w:w="90" w:type="dxa"/>
              <w:end w:w="90" w:type="dxa"/>
            </w:tcMar>
            <w:vAlign w:val="top"/>
          </w:tcPr>
          <w:p>
            <w:r>
              <w:rPr>
                <w:sz w:val="17"/>
              </w:rPr>
              <w:t>Safety &amp; Ethics Review</w:t>
            </w:r>
          </w:p>
        </w:tc>
        <w:tc>
          <w:tcPr>
            <w:tcW w:type="dxa" w:w="4968"/>
            <w:tcMar>
              <w:top w:w="90" w:type="dxa"/>
              <w:start w:w="90" w:type="dxa"/>
              <w:bottom w:w="90" w:type="dxa"/>
              <w:end w:w="90" w:type="dxa"/>
            </w:tcMar>
            <w:vAlign w:val="top"/>
          </w:tcPr>
          <w:p>
            <w:r>
              <w:rPr>
                <w:sz w:val="17"/>
              </w:rPr>
              <w:t>Hazardous experiments, physical actuation, access, human oversight</w:t>
            </w:r>
          </w:p>
        </w:tc>
      </w:tr>
      <w:tr>
        <w:tc>
          <w:tcPr>
            <w:tcW w:type="dxa" w:w="4968"/>
            <w:tcMar>
              <w:top w:w="90" w:type="dxa"/>
              <w:start w:w="90" w:type="dxa"/>
              <w:bottom w:w="90" w:type="dxa"/>
              <w:end w:w="90" w:type="dxa"/>
            </w:tcMar>
            <w:vAlign w:val="top"/>
          </w:tcPr>
          <w:p>
            <w:r>
              <w:rPr>
                <w:sz w:val="17"/>
              </w:rPr>
              <w:t>Independent Challenge Review</w:t>
            </w:r>
          </w:p>
        </w:tc>
        <w:tc>
          <w:tcPr>
            <w:tcW w:type="dxa" w:w="4968"/>
            <w:tcMar>
              <w:top w:w="90" w:type="dxa"/>
              <w:start w:w="90" w:type="dxa"/>
              <w:bottom w:w="90" w:type="dxa"/>
              <w:end w:w="90" w:type="dxa"/>
            </w:tcMar>
            <w:vAlign w:val="top"/>
          </w:tcPr>
          <w:p>
            <w:r>
              <w:rPr>
                <w:sz w:val="17"/>
              </w:rPr>
              <w:t>Red-team critique, replication, alternative explanations</w:t>
            </w:r>
          </w:p>
        </w:tc>
      </w:tr>
      <w:tr>
        <w:tc>
          <w:tcPr>
            <w:tcW w:type="dxa" w:w="4968"/>
            <w:tcMar>
              <w:top w:w="90" w:type="dxa"/>
              <w:start w:w="90" w:type="dxa"/>
              <w:bottom w:w="90" w:type="dxa"/>
              <w:end w:w="90" w:type="dxa"/>
            </w:tcMar>
            <w:vAlign w:val="top"/>
          </w:tcPr>
          <w:p>
            <w:r>
              <w:rPr>
                <w:sz w:val="17"/>
              </w:rPr>
              <w:t>Program Steering Group</w:t>
            </w:r>
          </w:p>
        </w:tc>
        <w:tc>
          <w:tcPr>
            <w:tcW w:type="dxa" w:w="4968"/>
            <w:tcMar>
              <w:top w:w="90" w:type="dxa"/>
              <w:start w:w="90" w:type="dxa"/>
              <w:bottom w:w="90" w:type="dxa"/>
              <w:end w:w="90" w:type="dxa"/>
            </w:tcMar>
            <w:vAlign w:val="top"/>
          </w:tcPr>
          <w:p>
            <w:r>
              <w:rPr>
                <w:sz w:val="17"/>
              </w:rPr>
              <w:t>Scope, funding, priorities, partnerships, release decisions</w:t>
            </w:r>
          </w:p>
        </w:tc>
      </w:tr>
    </w:tbl>
    <w:p/>
    <w:p>
      <w:pPr>
        <w:pStyle w:val="Heading1"/>
      </w:pPr>
      <w:r>
        <w:t>13. Risk Appetite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65D"/>
            <w:tcMar>
              <w:top w:w="90" w:type="dxa"/>
              <w:start w:w="90" w:type="dxa"/>
              <w:bottom w:w="90" w:type="dxa"/>
              <w:end w:w="90" w:type="dxa"/>
            </w:tcMar>
          </w:tcPr>
          <w:p>
            <w:r>
              <w:rPr>
                <w:b/>
                <w:color w:val="FFFFFF"/>
                <w:sz w:val="18"/>
              </w:rPr>
              <w:t>Area</w:t>
            </w:r>
          </w:p>
        </w:tc>
        <w:tc>
          <w:tcPr>
            <w:tcW w:type="dxa" w:w="3312"/>
            <w:shd w:fill="17365D"/>
            <w:tcMar>
              <w:top w:w="90" w:type="dxa"/>
              <w:start w:w="90" w:type="dxa"/>
              <w:bottom w:w="90" w:type="dxa"/>
              <w:end w:w="90" w:type="dxa"/>
            </w:tcMar>
          </w:tcPr>
          <w:p>
            <w:r>
              <w:rPr>
                <w:b/>
                <w:color w:val="FFFFFF"/>
                <w:sz w:val="18"/>
              </w:rPr>
              <w:t>Allowed</w:t>
            </w:r>
          </w:p>
        </w:tc>
        <w:tc>
          <w:tcPr>
            <w:tcW w:type="dxa" w:w="3312"/>
            <w:shd w:fill="17365D"/>
            <w:tcMar>
              <w:top w:w="90" w:type="dxa"/>
              <w:start w:w="90" w:type="dxa"/>
              <w:bottom w:w="90" w:type="dxa"/>
              <w:end w:w="90" w:type="dxa"/>
            </w:tcMar>
          </w:tcPr>
          <w:p>
            <w:r>
              <w:rPr>
                <w:b/>
                <w:color w:val="FFFFFF"/>
                <w:sz w:val="18"/>
              </w:rPr>
              <w:t>Not acceptable</w:t>
            </w:r>
          </w:p>
        </w:tc>
      </w:tr>
      <w:tr>
        <w:tc>
          <w:tcPr>
            <w:tcW w:type="dxa" w:w="3312"/>
            <w:tcMar>
              <w:top w:w="90" w:type="dxa"/>
              <w:start w:w="90" w:type="dxa"/>
              <w:bottom w:w="90" w:type="dxa"/>
              <w:end w:w="90" w:type="dxa"/>
            </w:tcMar>
            <w:vAlign w:val="top"/>
          </w:tcPr>
          <w:p>
            <w:r>
              <w:rPr>
                <w:sz w:val="17"/>
              </w:rPr>
              <w:t>Scientific speculation</w:t>
            </w:r>
          </w:p>
        </w:tc>
        <w:tc>
          <w:tcPr>
            <w:tcW w:type="dxa" w:w="3312"/>
            <w:tcMar>
              <w:top w:w="90" w:type="dxa"/>
              <w:start w:w="90" w:type="dxa"/>
              <w:bottom w:w="90" w:type="dxa"/>
              <w:end w:w="90" w:type="dxa"/>
            </w:tcMar>
            <w:vAlign w:val="top"/>
          </w:tcPr>
          <w:p>
            <w:r>
              <w:rPr>
                <w:sz w:val="17"/>
              </w:rPr>
              <w:t>Clearly labeled hypothesis exploration</w:t>
            </w:r>
          </w:p>
        </w:tc>
        <w:tc>
          <w:tcPr>
            <w:tcW w:type="dxa" w:w="3312"/>
            <w:tcMar>
              <w:top w:w="90" w:type="dxa"/>
              <w:start w:w="90" w:type="dxa"/>
              <w:bottom w:w="90" w:type="dxa"/>
              <w:end w:w="90" w:type="dxa"/>
            </w:tcMar>
            <w:vAlign w:val="top"/>
          </w:tcPr>
          <w:p>
            <w:r>
              <w:rPr>
                <w:sz w:val="17"/>
              </w:rPr>
              <w:t>Presenting speculation as established fact</w:t>
            </w:r>
          </w:p>
        </w:tc>
      </w:tr>
      <w:tr>
        <w:tc>
          <w:tcPr>
            <w:tcW w:type="dxa" w:w="3312"/>
            <w:tcMar>
              <w:top w:w="90" w:type="dxa"/>
              <w:start w:w="90" w:type="dxa"/>
              <w:bottom w:w="90" w:type="dxa"/>
              <w:end w:w="90" w:type="dxa"/>
            </w:tcMar>
            <w:vAlign w:val="top"/>
          </w:tcPr>
          <w:p>
            <w:r>
              <w:rPr>
                <w:sz w:val="17"/>
              </w:rPr>
              <w:t>AI experimentation</w:t>
            </w:r>
          </w:p>
        </w:tc>
        <w:tc>
          <w:tcPr>
            <w:tcW w:type="dxa" w:w="3312"/>
            <w:tcMar>
              <w:top w:w="90" w:type="dxa"/>
              <w:start w:w="90" w:type="dxa"/>
              <w:bottom w:w="90" w:type="dxa"/>
              <w:end w:w="90" w:type="dxa"/>
            </w:tcMar>
            <w:vAlign w:val="top"/>
          </w:tcPr>
          <w:p>
            <w:r>
              <w:rPr>
                <w:sz w:val="17"/>
              </w:rPr>
              <w:t>Sandboxed model generation</w:t>
            </w:r>
          </w:p>
        </w:tc>
        <w:tc>
          <w:tcPr>
            <w:tcW w:type="dxa" w:w="3312"/>
            <w:tcMar>
              <w:top w:w="90" w:type="dxa"/>
              <w:start w:w="90" w:type="dxa"/>
              <w:bottom w:w="90" w:type="dxa"/>
              <w:end w:w="90" w:type="dxa"/>
            </w:tcMar>
            <w:vAlign w:val="top"/>
          </w:tcPr>
          <w:p>
            <w:r>
              <w:rPr>
                <w:sz w:val="17"/>
              </w:rPr>
              <w:t>Uncontrolled autonomous promotion</w:t>
            </w:r>
          </w:p>
        </w:tc>
      </w:tr>
      <w:tr>
        <w:tc>
          <w:tcPr>
            <w:tcW w:type="dxa" w:w="3312"/>
            <w:tcMar>
              <w:top w:w="90" w:type="dxa"/>
              <w:start w:w="90" w:type="dxa"/>
              <w:bottom w:w="90" w:type="dxa"/>
              <w:end w:w="90" w:type="dxa"/>
            </w:tcMar>
            <w:vAlign w:val="top"/>
          </w:tcPr>
          <w:p>
            <w:r>
              <w:rPr>
                <w:sz w:val="17"/>
              </w:rPr>
              <w:t>New mathematics</w:t>
            </w:r>
          </w:p>
        </w:tc>
        <w:tc>
          <w:tcPr>
            <w:tcW w:type="dxa" w:w="3312"/>
            <w:tcMar>
              <w:top w:w="90" w:type="dxa"/>
              <w:start w:w="90" w:type="dxa"/>
              <w:bottom w:w="90" w:type="dxa"/>
              <w:end w:w="90" w:type="dxa"/>
            </w:tcMar>
            <w:vAlign w:val="top"/>
          </w:tcPr>
          <w:p>
            <w:r>
              <w:rPr>
                <w:sz w:val="17"/>
              </w:rPr>
              <w:t>Symbolic/model search with testing</w:t>
            </w:r>
          </w:p>
        </w:tc>
        <w:tc>
          <w:tcPr>
            <w:tcW w:type="dxa" w:w="3312"/>
            <w:tcMar>
              <w:top w:w="90" w:type="dxa"/>
              <w:start w:w="90" w:type="dxa"/>
              <w:bottom w:w="90" w:type="dxa"/>
              <w:end w:w="90" w:type="dxa"/>
            </w:tcMar>
            <w:vAlign w:val="top"/>
          </w:tcPr>
          <w:p>
            <w:r>
              <w:rPr>
                <w:sz w:val="17"/>
              </w:rPr>
              <w:t>Invented equation treated as physical law without evidence</w:t>
            </w:r>
          </w:p>
        </w:tc>
      </w:tr>
      <w:tr>
        <w:tc>
          <w:tcPr>
            <w:tcW w:type="dxa" w:w="3312"/>
            <w:tcMar>
              <w:top w:w="90" w:type="dxa"/>
              <w:start w:w="90" w:type="dxa"/>
              <w:bottom w:w="90" w:type="dxa"/>
              <w:end w:w="90" w:type="dxa"/>
            </w:tcMar>
            <w:vAlign w:val="top"/>
          </w:tcPr>
          <w:p>
            <w:r>
              <w:rPr>
                <w:sz w:val="17"/>
              </w:rPr>
              <w:t>Energy concepts</w:t>
            </w:r>
          </w:p>
        </w:tc>
        <w:tc>
          <w:tcPr>
            <w:tcW w:type="dxa" w:w="3312"/>
            <w:tcMar>
              <w:top w:w="90" w:type="dxa"/>
              <w:start w:w="90" w:type="dxa"/>
              <w:bottom w:w="90" w:type="dxa"/>
              <w:end w:w="90" w:type="dxa"/>
            </w:tcMar>
            <w:vAlign w:val="top"/>
          </w:tcPr>
          <w:p>
            <w:r>
              <w:rPr>
                <w:sz w:val="17"/>
              </w:rPr>
              <w:t>Thermodynamically and physically testable proposals</w:t>
            </w:r>
          </w:p>
        </w:tc>
        <w:tc>
          <w:tcPr>
            <w:tcW w:type="dxa" w:w="3312"/>
            <w:tcMar>
              <w:top w:w="90" w:type="dxa"/>
              <w:start w:w="90" w:type="dxa"/>
              <w:bottom w:w="90" w:type="dxa"/>
              <w:end w:w="90" w:type="dxa"/>
            </w:tcMar>
            <w:vAlign w:val="top"/>
          </w:tcPr>
          <w:p>
            <w:r>
              <w:rPr>
                <w:sz w:val="17"/>
              </w:rPr>
              <w:t>Perpetual motion / conservation-violating claims presented as engineering</w:t>
            </w:r>
          </w:p>
        </w:tc>
      </w:tr>
      <w:tr>
        <w:tc>
          <w:tcPr>
            <w:tcW w:type="dxa" w:w="3312"/>
            <w:tcMar>
              <w:top w:w="90" w:type="dxa"/>
              <w:start w:w="90" w:type="dxa"/>
              <w:bottom w:w="90" w:type="dxa"/>
              <w:end w:w="90" w:type="dxa"/>
            </w:tcMar>
            <w:vAlign w:val="top"/>
          </w:tcPr>
          <w:p>
            <w:r>
              <w:rPr>
                <w:sz w:val="17"/>
              </w:rPr>
              <w:t>Physical experiments</w:t>
            </w:r>
          </w:p>
        </w:tc>
        <w:tc>
          <w:tcPr>
            <w:tcW w:type="dxa" w:w="3312"/>
            <w:tcMar>
              <w:top w:w="90" w:type="dxa"/>
              <w:start w:w="90" w:type="dxa"/>
              <w:bottom w:w="90" w:type="dxa"/>
              <w:end w:w="90" w:type="dxa"/>
            </w:tcMar>
            <w:vAlign w:val="top"/>
          </w:tcPr>
          <w:p>
            <w:r>
              <w:rPr>
                <w:sz w:val="17"/>
              </w:rPr>
              <w:t>Controlled, reviewed, safe procedures</w:t>
            </w:r>
          </w:p>
        </w:tc>
        <w:tc>
          <w:tcPr>
            <w:tcW w:type="dxa" w:w="3312"/>
            <w:tcMar>
              <w:top w:w="90" w:type="dxa"/>
              <w:start w:w="90" w:type="dxa"/>
              <w:bottom w:w="90" w:type="dxa"/>
              <w:end w:w="90" w:type="dxa"/>
            </w:tcMar>
            <w:vAlign w:val="top"/>
          </w:tcPr>
          <w:p>
            <w:r>
              <w:rPr>
                <w:sz w:val="17"/>
              </w:rPr>
              <w:t>Unsupervised hazardous actuation</w:t>
            </w:r>
          </w:p>
        </w:tc>
      </w:tr>
      <w:tr>
        <w:tc>
          <w:tcPr>
            <w:tcW w:type="dxa" w:w="3312"/>
            <w:tcMar>
              <w:top w:w="90" w:type="dxa"/>
              <w:start w:w="90" w:type="dxa"/>
              <w:bottom w:w="90" w:type="dxa"/>
              <w:end w:w="90" w:type="dxa"/>
            </w:tcMar>
            <w:vAlign w:val="top"/>
          </w:tcPr>
          <w:p>
            <w:r>
              <w:rPr>
                <w:sz w:val="17"/>
              </w:rPr>
              <w:t>External data</w:t>
            </w:r>
          </w:p>
        </w:tc>
        <w:tc>
          <w:tcPr>
            <w:tcW w:type="dxa" w:w="3312"/>
            <w:tcMar>
              <w:top w:w="90" w:type="dxa"/>
              <w:start w:w="90" w:type="dxa"/>
              <w:bottom w:w="90" w:type="dxa"/>
              <w:end w:w="90" w:type="dxa"/>
            </w:tcMar>
            <w:vAlign w:val="top"/>
          </w:tcPr>
          <w:p>
            <w:r>
              <w:rPr>
                <w:sz w:val="17"/>
              </w:rPr>
              <w:t>Licensed and provenance-tracked sources</w:t>
            </w:r>
          </w:p>
        </w:tc>
        <w:tc>
          <w:tcPr>
            <w:tcW w:type="dxa" w:w="3312"/>
            <w:tcMar>
              <w:top w:w="90" w:type="dxa"/>
              <w:start w:w="90" w:type="dxa"/>
              <w:bottom w:w="90" w:type="dxa"/>
              <w:end w:w="90" w:type="dxa"/>
            </w:tcMar>
            <w:vAlign w:val="top"/>
          </w:tcPr>
          <w:p>
            <w:r>
              <w:rPr>
                <w:sz w:val="17"/>
              </w:rPr>
              <w:t>Untraceable or improperly licensed data</w:t>
            </w:r>
          </w:p>
        </w:tc>
      </w:tr>
    </w:tbl>
    <w:p/>
    <w:p>
      <w:pPr>
        <w:pStyle w:val="Heading1"/>
      </w:pPr>
      <w:r>
        <w:t>14. Commercial and Cost Philosophy</w:t>
      </w:r>
    </w:p>
    <w:p>
      <w:r>
        <w:t>The platform should be designed to produce useful scientific and engineering results with progressively lower cost per validated insight. This requires a staged compute architecture, reusable models, caching, surrogates, information-gain-driven experimentation, and measurement of scientific output per energy and compute expenditure.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Cost category</w:t>
            </w:r>
          </w:p>
        </w:tc>
        <w:tc>
          <w:tcPr>
            <w:tcW w:type="dxa" w:w="4968"/>
            <w:shd w:fill="17365D"/>
            <w:tcMar>
              <w:top w:w="90" w:type="dxa"/>
              <w:start w:w="90" w:type="dxa"/>
              <w:bottom w:w="90" w:type="dxa"/>
              <w:end w:w="90" w:type="dxa"/>
            </w:tcMar>
          </w:tcPr>
          <w:p>
            <w:r>
              <w:rPr>
                <w:b/>
                <w:color w:val="FFFFFF"/>
                <w:sz w:val="18"/>
              </w:rPr>
              <w:t>Management principle</w:t>
            </w:r>
          </w:p>
        </w:tc>
      </w:tr>
      <w:tr>
        <w:tc>
          <w:tcPr>
            <w:tcW w:type="dxa" w:w="4968"/>
            <w:tcMar>
              <w:top w:w="90" w:type="dxa"/>
              <w:start w:w="90" w:type="dxa"/>
              <w:bottom w:w="90" w:type="dxa"/>
              <w:end w:w="90" w:type="dxa"/>
            </w:tcMar>
            <w:vAlign w:val="top"/>
          </w:tcPr>
          <w:p>
            <w:r>
              <w:rPr>
                <w:sz w:val="17"/>
              </w:rPr>
              <w:t>Compute</w:t>
            </w:r>
          </w:p>
        </w:tc>
        <w:tc>
          <w:tcPr>
            <w:tcW w:type="dxa" w:w="4968"/>
            <w:tcMar>
              <w:top w:w="90" w:type="dxa"/>
              <w:start w:w="90" w:type="dxa"/>
              <w:bottom w:w="90" w:type="dxa"/>
              <w:end w:w="90" w:type="dxa"/>
            </w:tcMar>
            <w:vAlign w:val="top"/>
          </w:tcPr>
          <w:p>
            <w:r>
              <w:rPr>
                <w:sz w:val="17"/>
              </w:rPr>
              <w:t>Use cheap filters first; reserve expensive simulation for survivors</w:t>
            </w:r>
          </w:p>
        </w:tc>
      </w:tr>
      <w:tr>
        <w:tc>
          <w:tcPr>
            <w:tcW w:type="dxa" w:w="4968"/>
            <w:tcMar>
              <w:top w:w="90" w:type="dxa"/>
              <w:start w:w="90" w:type="dxa"/>
              <w:bottom w:w="90" w:type="dxa"/>
              <w:end w:w="90" w:type="dxa"/>
            </w:tcMar>
            <w:vAlign w:val="top"/>
          </w:tcPr>
          <w:p>
            <w:r>
              <w:rPr>
                <w:sz w:val="17"/>
              </w:rPr>
              <w:t>Energy</w:t>
            </w:r>
          </w:p>
        </w:tc>
        <w:tc>
          <w:tcPr>
            <w:tcW w:type="dxa" w:w="4968"/>
            <w:tcMar>
              <w:top w:w="90" w:type="dxa"/>
              <w:start w:w="90" w:type="dxa"/>
              <w:bottom w:w="90" w:type="dxa"/>
              <w:end w:w="90" w:type="dxa"/>
            </w:tcMar>
            <w:vAlign w:val="top"/>
          </w:tcPr>
          <w:p>
            <w:r>
              <w:rPr>
                <w:sz w:val="17"/>
              </w:rPr>
              <w:t>Measure energy/exergy consumption of meaningful workloads</w:t>
            </w:r>
          </w:p>
        </w:tc>
      </w:tr>
      <w:tr>
        <w:tc>
          <w:tcPr>
            <w:tcW w:type="dxa" w:w="4968"/>
            <w:tcMar>
              <w:top w:w="90" w:type="dxa"/>
              <w:start w:w="90" w:type="dxa"/>
              <w:bottom w:w="90" w:type="dxa"/>
              <w:end w:w="90" w:type="dxa"/>
            </w:tcMar>
            <w:vAlign w:val="top"/>
          </w:tcPr>
          <w:p>
            <w:r>
              <w:rPr>
                <w:sz w:val="17"/>
              </w:rPr>
              <w:t>Data</w:t>
            </w:r>
          </w:p>
        </w:tc>
        <w:tc>
          <w:tcPr>
            <w:tcW w:type="dxa" w:w="4968"/>
            <w:tcMar>
              <w:top w:w="90" w:type="dxa"/>
              <w:start w:w="90" w:type="dxa"/>
              <w:bottom w:w="90" w:type="dxa"/>
              <w:end w:w="90" w:type="dxa"/>
            </w:tcMar>
            <w:vAlign w:val="top"/>
          </w:tcPr>
          <w:p>
            <w:r>
              <w:rPr>
                <w:sz w:val="17"/>
              </w:rPr>
              <w:t>Prefer public/open data where adequate; preserve provenance and rights</w:t>
            </w:r>
          </w:p>
        </w:tc>
      </w:tr>
      <w:tr>
        <w:tc>
          <w:tcPr>
            <w:tcW w:type="dxa" w:w="4968"/>
            <w:tcMar>
              <w:top w:w="90" w:type="dxa"/>
              <w:start w:w="90" w:type="dxa"/>
              <w:bottom w:w="90" w:type="dxa"/>
              <w:end w:w="90" w:type="dxa"/>
            </w:tcMar>
            <w:vAlign w:val="top"/>
          </w:tcPr>
          <w:p>
            <w:r>
              <w:rPr>
                <w:sz w:val="17"/>
              </w:rPr>
              <w:t>Hardware</w:t>
            </w:r>
          </w:p>
        </w:tc>
        <w:tc>
          <w:tcPr>
            <w:tcW w:type="dxa" w:w="4968"/>
            <w:tcMar>
              <w:top w:w="90" w:type="dxa"/>
              <w:start w:w="90" w:type="dxa"/>
              <w:bottom w:w="90" w:type="dxa"/>
              <w:end w:w="90" w:type="dxa"/>
            </w:tcMar>
            <w:vAlign w:val="top"/>
          </w:tcPr>
          <w:p>
            <w:r>
              <w:rPr>
                <w:sz w:val="17"/>
              </w:rPr>
              <w:t>Use commodity/accessible systems for early research; specialize only when evidence justifies it</w:t>
            </w:r>
          </w:p>
        </w:tc>
      </w:tr>
      <w:tr>
        <w:tc>
          <w:tcPr>
            <w:tcW w:type="dxa" w:w="4968"/>
            <w:tcMar>
              <w:top w:w="90" w:type="dxa"/>
              <w:start w:w="90" w:type="dxa"/>
              <w:bottom w:w="90" w:type="dxa"/>
              <w:end w:w="90" w:type="dxa"/>
            </w:tcMar>
            <w:vAlign w:val="top"/>
          </w:tcPr>
          <w:p>
            <w:r>
              <w:rPr>
                <w:sz w:val="17"/>
              </w:rPr>
              <w:t>People</w:t>
            </w:r>
          </w:p>
        </w:tc>
        <w:tc>
          <w:tcPr>
            <w:tcW w:type="dxa" w:w="4968"/>
            <w:tcMar>
              <w:top w:w="90" w:type="dxa"/>
              <w:start w:w="90" w:type="dxa"/>
              <w:bottom w:w="90" w:type="dxa"/>
              <w:end w:w="90" w:type="dxa"/>
            </w:tcMar>
            <w:vAlign w:val="top"/>
          </w:tcPr>
          <w:p>
            <w:r>
              <w:rPr>
                <w:sz w:val="17"/>
              </w:rPr>
              <w:t>Automate repeatable checks; retain humans for judgment, validation, and safety</w:t>
            </w:r>
          </w:p>
        </w:tc>
      </w:tr>
      <w:tr>
        <w:tc>
          <w:tcPr>
            <w:tcW w:type="dxa" w:w="4968"/>
            <w:tcMar>
              <w:top w:w="90" w:type="dxa"/>
              <w:start w:w="90" w:type="dxa"/>
              <w:bottom w:w="90" w:type="dxa"/>
              <w:end w:w="90" w:type="dxa"/>
            </w:tcMar>
            <w:vAlign w:val="top"/>
          </w:tcPr>
          <w:p>
            <w:r>
              <w:rPr>
                <w:sz w:val="17"/>
              </w:rPr>
              <w:t>LLM/API</w:t>
            </w:r>
          </w:p>
        </w:tc>
        <w:tc>
          <w:tcPr>
            <w:tcW w:type="dxa" w:w="4968"/>
            <w:tcMar>
              <w:top w:w="90" w:type="dxa"/>
              <w:start w:w="90" w:type="dxa"/>
              <w:bottom w:w="90" w:type="dxa"/>
              <w:end w:w="90" w:type="dxa"/>
            </w:tcMar>
            <w:vAlign w:val="top"/>
          </w:tcPr>
          <w:p>
            <w:r>
              <w:rPr>
                <w:sz w:val="17"/>
              </w:rPr>
              <w:t>Make external model dependencies replaceable and budgeted</w:t>
            </w:r>
          </w:p>
        </w:tc>
      </w:tr>
    </w:tbl>
    <w:p/>
    <w:p>
      <w:pPr>
        <w:pStyle w:val="Heading1"/>
      </w:pPr>
      <w:r>
        <w:t>15. Roadmap and Stage Gates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65D"/>
            <w:tcMar>
              <w:top w:w="90" w:type="dxa"/>
              <w:start w:w="90" w:type="dxa"/>
              <w:bottom w:w="90" w:type="dxa"/>
              <w:end w:w="90" w:type="dxa"/>
            </w:tcMar>
          </w:tcPr>
          <w:p>
            <w:r>
              <w:rPr>
                <w:b/>
                <w:color w:val="FFFFFF"/>
                <w:sz w:val="18"/>
              </w:rPr>
              <w:t>Stage</w:t>
            </w:r>
          </w:p>
        </w:tc>
        <w:tc>
          <w:tcPr>
            <w:tcW w:type="dxa" w:w="3312"/>
            <w:shd w:fill="17365D"/>
            <w:tcMar>
              <w:top w:w="90" w:type="dxa"/>
              <w:start w:w="90" w:type="dxa"/>
              <w:bottom w:w="90" w:type="dxa"/>
              <w:end w:w="90" w:type="dxa"/>
            </w:tcMar>
          </w:tcPr>
          <w:p>
            <w:r>
              <w:rPr>
                <w:b/>
                <w:color w:val="FFFFFF"/>
                <w:sz w:val="18"/>
              </w:rPr>
              <w:t>Outcome</w:t>
            </w:r>
          </w:p>
        </w:tc>
        <w:tc>
          <w:tcPr>
            <w:tcW w:type="dxa" w:w="3312"/>
            <w:shd w:fill="17365D"/>
            <w:tcMar>
              <w:top w:w="90" w:type="dxa"/>
              <w:start w:w="90" w:type="dxa"/>
              <w:bottom w:w="90" w:type="dxa"/>
              <w:end w:w="90" w:type="dxa"/>
            </w:tcMar>
          </w:tcPr>
          <w:p>
            <w:r>
              <w:rPr>
                <w:b/>
                <w:color w:val="FFFFFF"/>
                <w:sz w:val="18"/>
              </w:rPr>
              <w:t>Gate</w:t>
            </w:r>
          </w:p>
        </w:tc>
      </w:tr>
      <w:tr>
        <w:tc>
          <w:tcPr>
            <w:tcW w:type="dxa" w:w="3312"/>
            <w:tcMar>
              <w:top w:w="90" w:type="dxa"/>
              <w:start w:w="90" w:type="dxa"/>
              <w:bottom w:w="90" w:type="dxa"/>
              <w:end w:w="90" w:type="dxa"/>
            </w:tcMar>
            <w:vAlign w:val="top"/>
          </w:tcPr>
          <w:p>
            <w:r>
              <w:rPr>
                <w:sz w:val="17"/>
              </w:rPr>
              <w:t>0. Foundations</w:t>
            </w:r>
          </w:p>
        </w:tc>
        <w:tc>
          <w:tcPr>
            <w:tcW w:type="dxa" w:w="3312"/>
            <w:tcMar>
              <w:top w:w="90" w:type="dxa"/>
              <w:start w:w="90" w:type="dxa"/>
              <w:bottom w:w="90" w:type="dxa"/>
              <w:end w:w="90" w:type="dxa"/>
            </w:tcMar>
            <w:vAlign w:val="top"/>
          </w:tcPr>
          <w:p>
            <w:r>
              <w:rPr>
                <w:sz w:val="17"/>
              </w:rPr>
              <w:t>Requirements, equation registry, validation framework</w:t>
            </w:r>
          </w:p>
        </w:tc>
        <w:tc>
          <w:tcPr>
            <w:tcW w:type="dxa" w:w="3312"/>
            <w:tcMar>
              <w:top w:w="90" w:type="dxa"/>
              <w:start w:w="90" w:type="dxa"/>
              <w:bottom w:w="90" w:type="dxa"/>
              <w:end w:w="90" w:type="dxa"/>
            </w:tcMar>
            <w:vAlign w:val="top"/>
          </w:tcPr>
          <w:p>
            <w:r>
              <w:rPr>
                <w:sz w:val="17"/>
              </w:rPr>
              <w:t>Core test harness operational</w:t>
            </w:r>
          </w:p>
        </w:tc>
      </w:tr>
      <w:tr>
        <w:tc>
          <w:tcPr>
            <w:tcW w:type="dxa" w:w="3312"/>
            <w:tcMar>
              <w:top w:w="90" w:type="dxa"/>
              <w:start w:w="90" w:type="dxa"/>
              <w:bottom w:w="90" w:type="dxa"/>
              <w:end w:w="90" w:type="dxa"/>
            </w:tcMar>
            <w:vAlign w:val="top"/>
          </w:tcPr>
          <w:p>
            <w:r>
              <w:rPr>
                <w:sz w:val="17"/>
              </w:rPr>
              <w:t>1. Research laboratory</w:t>
            </w:r>
          </w:p>
        </w:tc>
        <w:tc>
          <w:tcPr>
            <w:tcW w:type="dxa" w:w="3312"/>
            <w:tcMar>
              <w:top w:w="90" w:type="dxa"/>
              <w:start w:w="90" w:type="dxa"/>
              <w:bottom w:w="90" w:type="dxa"/>
              <w:end w:w="90" w:type="dxa"/>
            </w:tcMar>
            <w:vAlign w:val="top"/>
          </w:tcPr>
          <w:p>
            <w:r>
              <w:rPr>
                <w:sz w:val="17"/>
              </w:rPr>
              <w:t>Colab/local lab reproduces baseline physics/energy benchmarks</w:t>
            </w:r>
          </w:p>
        </w:tc>
        <w:tc>
          <w:tcPr>
            <w:tcW w:type="dxa" w:w="3312"/>
            <w:tcMar>
              <w:top w:w="90" w:type="dxa"/>
              <w:start w:w="90" w:type="dxa"/>
              <w:bottom w:w="90" w:type="dxa"/>
              <w:end w:w="90" w:type="dxa"/>
            </w:tcMar>
            <w:vAlign w:val="top"/>
          </w:tcPr>
          <w:p>
            <w:r>
              <w:rPr>
                <w:sz w:val="17"/>
              </w:rPr>
              <w:t>Benchmarks pass</w:t>
            </w:r>
          </w:p>
        </w:tc>
      </w:tr>
      <w:tr>
        <w:tc>
          <w:tcPr>
            <w:tcW w:type="dxa" w:w="3312"/>
            <w:tcMar>
              <w:top w:w="90" w:type="dxa"/>
              <w:start w:w="90" w:type="dxa"/>
              <w:bottom w:w="90" w:type="dxa"/>
              <w:end w:w="90" w:type="dxa"/>
            </w:tcMar>
            <w:vAlign w:val="top"/>
          </w:tcPr>
          <w:p>
            <w:r>
              <w:rPr>
                <w:sz w:val="17"/>
              </w:rPr>
              <w:t>2. Data + anomaly platform</w:t>
            </w:r>
          </w:p>
        </w:tc>
        <w:tc>
          <w:tcPr>
            <w:tcW w:type="dxa" w:w="3312"/>
            <w:tcMar>
              <w:top w:w="90" w:type="dxa"/>
              <w:start w:w="90" w:type="dxa"/>
              <w:bottom w:w="90" w:type="dxa"/>
              <w:end w:w="90" w:type="dxa"/>
            </w:tcMar>
            <w:vAlign w:val="top"/>
          </w:tcPr>
          <w:p>
            <w:r>
              <w:rPr>
                <w:sz w:val="17"/>
              </w:rPr>
              <w:t>Real data ingestion, residuals, anomaly calibration</w:t>
            </w:r>
          </w:p>
        </w:tc>
        <w:tc>
          <w:tcPr>
            <w:tcW w:type="dxa" w:w="3312"/>
            <w:tcMar>
              <w:top w:w="90" w:type="dxa"/>
              <w:start w:w="90" w:type="dxa"/>
              <w:bottom w:w="90" w:type="dxa"/>
              <w:end w:w="90" w:type="dxa"/>
            </w:tcMar>
            <w:vAlign w:val="top"/>
          </w:tcPr>
          <w:p>
            <w:r>
              <w:rPr>
                <w:sz w:val="17"/>
              </w:rPr>
              <w:t>False-alarm performance characterized</w:t>
            </w:r>
          </w:p>
        </w:tc>
      </w:tr>
      <w:tr>
        <w:tc>
          <w:tcPr>
            <w:tcW w:type="dxa" w:w="3312"/>
            <w:tcMar>
              <w:top w:w="90" w:type="dxa"/>
              <w:start w:w="90" w:type="dxa"/>
              <w:bottom w:w="90" w:type="dxa"/>
              <w:end w:w="90" w:type="dxa"/>
            </w:tcMar>
            <w:vAlign w:val="top"/>
          </w:tcPr>
          <w:p>
            <w:r>
              <w:rPr>
                <w:sz w:val="17"/>
              </w:rPr>
              <w:t>3. Discovery engine</w:t>
            </w:r>
          </w:p>
        </w:tc>
        <w:tc>
          <w:tcPr>
            <w:tcW w:type="dxa" w:w="3312"/>
            <w:tcMar>
              <w:top w:w="90" w:type="dxa"/>
              <w:start w:w="90" w:type="dxa"/>
              <w:bottom w:w="90" w:type="dxa"/>
              <w:end w:w="90" w:type="dxa"/>
            </w:tcMar>
            <w:vAlign w:val="top"/>
          </w:tcPr>
          <w:p>
            <w:r>
              <w:rPr>
                <w:sz w:val="17"/>
              </w:rPr>
              <w:t>Model generation, falsification, negative knowledge</w:t>
            </w:r>
          </w:p>
        </w:tc>
        <w:tc>
          <w:tcPr>
            <w:tcW w:type="dxa" w:w="3312"/>
            <w:tcMar>
              <w:top w:w="90" w:type="dxa"/>
              <w:start w:w="90" w:type="dxa"/>
              <w:bottom w:w="90" w:type="dxa"/>
              <w:end w:w="90" w:type="dxa"/>
            </w:tcMar>
            <w:vAlign w:val="top"/>
          </w:tcPr>
          <w:p>
            <w:r>
              <w:rPr>
                <w:sz w:val="17"/>
              </w:rPr>
              <w:t>At least one end-to-end research case</w:t>
            </w:r>
          </w:p>
        </w:tc>
      </w:tr>
      <w:tr>
        <w:tc>
          <w:tcPr>
            <w:tcW w:type="dxa" w:w="3312"/>
            <w:tcMar>
              <w:top w:w="90" w:type="dxa"/>
              <w:start w:w="90" w:type="dxa"/>
              <w:bottom w:w="90" w:type="dxa"/>
              <w:end w:w="90" w:type="dxa"/>
            </w:tcMar>
            <w:vAlign w:val="top"/>
          </w:tcPr>
          <w:p>
            <w:r>
              <w:rPr>
                <w:sz w:val="17"/>
              </w:rPr>
              <w:t>4. Coupled multiphysics</w:t>
            </w:r>
          </w:p>
        </w:tc>
        <w:tc>
          <w:tcPr>
            <w:tcW w:type="dxa" w:w="3312"/>
            <w:tcMar>
              <w:top w:w="90" w:type="dxa"/>
              <w:start w:w="90" w:type="dxa"/>
              <w:bottom w:w="90" w:type="dxa"/>
              <w:end w:w="90" w:type="dxa"/>
            </w:tcMar>
            <w:vAlign w:val="top"/>
          </w:tcPr>
          <w:p>
            <w:r>
              <w:rPr>
                <w:sz w:val="17"/>
              </w:rPr>
              <w:t>Quantum/chemistry/material/energy interfaces</w:t>
            </w:r>
          </w:p>
        </w:tc>
        <w:tc>
          <w:tcPr>
            <w:tcW w:type="dxa" w:w="3312"/>
            <w:tcMar>
              <w:top w:w="90" w:type="dxa"/>
              <w:start w:w="90" w:type="dxa"/>
              <w:bottom w:w="90" w:type="dxa"/>
              <w:end w:w="90" w:type="dxa"/>
            </w:tcMar>
            <w:vAlign w:val="top"/>
          </w:tcPr>
          <w:p>
            <w:r>
              <w:rPr>
                <w:sz w:val="17"/>
              </w:rPr>
              <w:t>Cross-domain balance tests pass</w:t>
            </w:r>
          </w:p>
        </w:tc>
      </w:tr>
      <w:tr>
        <w:tc>
          <w:tcPr>
            <w:tcW w:type="dxa" w:w="3312"/>
            <w:tcMar>
              <w:top w:w="90" w:type="dxa"/>
              <w:start w:w="90" w:type="dxa"/>
              <w:bottom w:w="90" w:type="dxa"/>
              <w:end w:w="90" w:type="dxa"/>
            </w:tcMar>
            <w:vAlign w:val="top"/>
          </w:tcPr>
          <w:p>
            <w:r>
              <w:rPr>
                <w:sz w:val="17"/>
              </w:rPr>
              <w:t>5. Closed-loop optimization</w:t>
            </w:r>
          </w:p>
        </w:tc>
        <w:tc>
          <w:tcPr>
            <w:tcW w:type="dxa" w:w="3312"/>
            <w:tcMar>
              <w:top w:w="90" w:type="dxa"/>
              <w:start w:w="90" w:type="dxa"/>
              <w:bottom w:w="90" w:type="dxa"/>
              <w:end w:w="90" w:type="dxa"/>
            </w:tcMar>
            <w:vAlign w:val="top"/>
          </w:tcPr>
          <w:p>
            <w:r>
              <w:rPr>
                <w:sz w:val="17"/>
              </w:rPr>
              <w:t>Experiment/resource planner</w:t>
            </w:r>
          </w:p>
        </w:tc>
        <w:tc>
          <w:tcPr>
            <w:tcW w:type="dxa" w:w="3312"/>
            <w:tcMar>
              <w:top w:w="90" w:type="dxa"/>
              <w:start w:w="90" w:type="dxa"/>
              <w:bottom w:w="90" w:type="dxa"/>
              <w:end w:w="90" w:type="dxa"/>
            </w:tcMar>
            <w:vAlign w:val="top"/>
          </w:tcPr>
          <w:p>
            <w:r>
              <w:rPr>
                <w:sz w:val="17"/>
              </w:rPr>
              <w:t>Budget-constrained gain demonstrated</w:t>
            </w:r>
          </w:p>
        </w:tc>
      </w:tr>
      <w:tr>
        <w:tc>
          <w:tcPr>
            <w:tcW w:type="dxa" w:w="3312"/>
            <w:tcMar>
              <w:top w:w="90" w:type="dxa"/>
              <w:start w:w="90" w:type="dxa"/>
              <w:bottom w:w="90" w:type="dxa"/>
              <w:end w:w="90" w:type="dxa"/>
            </w:tcMar>
            <w:vAlign w:val="top"/>
          </w:tcPr>
          <w:p>
            <w:r>
              <w:rPr>
                <w:sz w:val="17"/>
              </w:rPr>
              <w:t>6. Controlled deployment</w:t>
            </w:r>
          </w:p>
        </w:tc>
        <w:tc>
          <w:tcPr>
            <w:tcW w:type="dxa" w:w="3312"/>
            <w:tcMar>
              <w:top w:w="90" w:type="dxa"/>
              <w:start w:w="90" w:type="dxa"/>
              <w:bottom w:w="90" w:type="dxa"/>
              <w:end w:w="90" w:type="dxa"/>
            </w:tcMar>
            <w:vAlign w:val="top"/>
          </w:tcPr>
          <w:p>
            <w:r>
              <w:rPr>
                <w:sz w:val="17"/>
              </w:rPr>
              <w:t>Partner or laboratory integration</w:t>
            </w:r>
          </w:p>
        </w:tc>
        <w:tc>
          <w:tcPr>
            <w:tcW w:type="dxa" w:w="3312"/>
            <w:tcMar>
              <w:top w:w="90" w:type="dxa"/>
              <w:start w:w="90" w:type="dxa"/>
              <w:bottom w:w="90" w:type="dxa"/>
              <w:end w:w="90" w:type="dxa"/>
            </w:tcMar>
            <w:vAlign w:val="top"/>
          </w:tcPr>
          <w:p>
            <w:r>
              <w:rPr>
                <w:sz w:val="17"/>
              </w:rPr>
              <w:t>Independent review and safety approval</w:t>
            </w:r>
          </w:p>
        </w:tc>
      </w:tr>
    </w:tbl>
    <w:p/>
    <w:p>
      <w:pPr>
        <w:pStyle w:val="Heading1"/>
      </w:pPr>
      <w:r>
        <w:t>16. Success Measures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Measure</w:t>
            </w:r>
          </w:p>
        </w:tc>
        <w:tc>
          <w:tcPr>
            <w:tcW w:type="dxa" w:w="4968"/>
            <w:shd w:fill="17365D"/>
            <w:tcMar>
              <w:top w:w="90" w:type="dxa"/>
              <w:start w:w="90" w:type="dxa"/>
              <w:bottom w:w="90" w:type="dxa"/>
              <w:end w:w="90" w:type="dxa"/>
            </w:tcMar>
          </w:tcPr>
          <w:p>
            <w:r>
              <w:rPr>
                <w:b/>
                <w:color w:val="FFFFFF"/>
                <w:sz w:val="18"/>
              </w:rPr>
              <w:t>Definition</w:t>
            </w:r>
          </w:p>
        </w:tc>
      </w:tr>
      <w:tr>
        <w:tc>
          <w:tcPr>
            <w:tcW w:type="dxa" w:w="4968"/>
            <w:tcMar>
              <w:top w:w="90" w:type="dxa"/>
              <w:start w:w="90" w:type="dxa"/>
              <w:bottom w:w="90" w:type="dxa"/>
              <w:end w:w="90" w:type="dxa"/>
            </w:tcMar>
            <w:vAlign w:val="top"/>
          </w:tcPr>
          <w:p>
            <w:r>
              <w:rPr>
                <w:sz w:val="17"/>
              </w:rPr>
              <w:t>Reproducibility rate</w:t>
            </w:r>
          </w:p>
        </w:tc>
        <w:tc>
          <w:tcPr>
            <w:tcW w:type="dxa" w:w="4968"/>
            <w:tcMar>
              <w:top w:w="90" w:type="dxa"/>
              <w:start w:w="90" w:type="dxa"/>
              <w:bottom w:w="90" w:type="dxa"/>
              <w:end w:w="90" w:type="dxa"/>
            </w:tcMar>
            <w:vAlign w:val="top"/>
          </w:tcPr>
          <w:p>
            <w:r>
              <w:rPr>
                <w:sz w:val="17"/>
              </w:rPr>
              <w:t>Fraction of selected results reproduced by an independent run/team</w:t>
            </w:r>
          </w:p>
        </w:tc>
      </w:tr>
      <w:tr>
        <w:tc>
          <w:tcPr>
            <w:tcW w:type="dxa" w:w="4968"/>
            <w:tcMar>
              <w:top w:w="90" w:type="dxa"/>
              <w:start w:w="90" w:type="dxa"/>
              <w:bottom w:w="90" w:type="dxa"/>
              <w:end w:w="90" w:type="dxa"/>
            </w:tcMar>
            <w:vAlign w:val="top"/>
          </w:tcPr>
          <w:p>
            <w:r>
              <w:rPr>
                <w:sz w:val="17"/>
              </w:rPr>
              <w:t>False discovery control</w:t>
            </w:r>
          </w:p>
        </w:tc>
        <w:tc>
          <w:tcPr>
            <w:tcW w:type="dxa" w:w="4968"/>
            <w:tcMar>
              <w:top w:w="90" w:type="dxa"/>
              <w:start w:w="90" w:type="dxa"/>
              <w:bottom w:w="90" w:type="dxa"/>
              <w:end w:w="90" w:type="dxa"/>
            </w:tcMar>
            <w:vAlign w:val="top"/>
          </w:tcPr>
          <w:p>
            <w:r>
              <w:rPr>
                <w:sz w:val="17"/>
              </w:rPr>
              <w:t>Observed false-alarm behavior against validated nulls</w:t>
            </w:r>
          </w:p>
        </w:tc>
      </w:tr>
      <w:tr>
        <w:tc>
          <w:tcPr>
            <w:tcW w:type="dxa" w:w="4968"/>
            <w:tcMar>
              <w:top w:w="90" w:type="dxa"/>
              <w:start w:w="90" w:type="dxa"/>
              <w:bottom w:w="90" w:type="dxa"/>
              <w:end w:w="90" w:type="dxa"/>
            </w:tcMar>
            <w:vAlign w:val="top"/>
          </w:tcPr>
          <w:p>
            <w:r>
              <w:rPr>
                <w:sz w:val="17"/>
              </w:rPr>
              <w:t>Prediction value</w:t>
            </w:r>
          </w:p>
        </w:tc>
        <w:tc>
          <w:tcPr>
            <w:tcW w:type="dxa" w:w="4968"/>
            <w:tcMar>
              <w:top w:w="90" w:type="dxa"/>
              <w:start w:w="90" w:type="dxa"/>
              <w:bottom w:w="90" w:type="dxa"/>
              <w:end w:w="90" w:type="dxa"/>
            </w:tcMar>
            <w:vAlign w:val="top"/>
          </w:tcPr>
          <w:p>
            <w:r>
              <w:rPr>
                <w:sz w:val="17"/>
              </w:rPr>
              <w:t>Held-out/forward predictive performance of surviving models</w:t>
            </w:r>
          </w:p>
        </w:tc>
      </w:tr>
      <w:tr>
        <w:tc>
          <w:tcPr>
            <w:tcW w:type="dxa" w:w="4968"/>
            <w:tcMar>
              <w:top w:w="90" w:type="dxa"/>
              <w:start w:w="90" w:type="dxa"/>
              <w:bottom w:w="90" w:type="dxa"/>
              <w:end w:w="90" w:type="dxa"/>
            </w:tcMar>
            <w:vAlign w:val="top"/>
          </w:tcPr>
          <w:p>
            <w:r>
              <w:rPr>
                <w:sz w:val="17"/>
              </w:rPr>
              <w:t>Scientific information efficiency</w:t>
            </w:r>
          </w:p>
        </w:tc>
        <w:tc>
          <w:tcPr>
            <w:tcW w:type="dxa" w:w="4968"/>
            <w:tcMar>
              <w:top w:w="90" w:type="dxa"/>
              <w:start w:w="90" w:type="dxa"/>
              <w:bottom w:w="90" w:type="dxa"/>
              <w:end w:w="90" w:type="dxa"/>
            </w:tcMar>
            <w:vAlign w:val="top"/>
          </w:tcPr>
          <w:p>
            <w:r>
              <w:rPr>
                <w:sz w:val="17"/>
              </w:rPr>
              <w:t>Validated information gained per unit of resource consumed</w:t>
            </w:r>
          </w:p>
        </w:tc>
      </w:tr>
      <w:tr>
        <w:tc>
          <w:tcPr>
            <w:tcW w:type="dxa" w:w="4968"/>
            <w:tcMar>
              <w:top w:w="90" w:type="dxa"/>
              <w:start w:w="90" w:type="dxa"/>
              <w:bottom w:w="90" w:type="dxa"/>
              <w:end w:w="90" w:type="dxa"/>
            </w:tcMar>
            <w:vAlign w:val="top"/>
          </w:tcPr>
          <w:p>
            <w:r>
              <w:rPr>
                <w:sz w:val="17"/>
              </w:rPr>
              <w:t>Model discovery yield</w:t>
            </w:r>
          </w:p>
        </w:tc>
        <w:tc>
          <w:tcPr>
            <w:tcW w:type="dxa" w:w="4968"/>
            <w:tcMar>
              <w:top w:w="90" w:type="dxa"/>
              <w:start w:w="90" w:type="dxa"/>
              <w:bottom w:w="90" w:type="dxa"/>
              <w:end w:w="90" w:type="dxa"/>
            </w:tcMar>
            <w:vAlign w:val="top"/>
          </w:tcPr>
          <w:p>
            <w:r>
              <w:rPr>
                <w:sz w:val="17"/>
              </w:rPr>
              <w:t>Number of novel candidate structures that survive mathematical/physical gates</w:t>
            </w:r>
          </w:p>
        </w:tc>
      </w:tr>
      <w:tr>
        <w:tc>
          <w:tcPr>
            <w:tcW w:type="dxa" w:w="4968"/>
            <w:tcMar>
              <w:top w:w="90" w:type="dxa"/>
              <w:start w:w="90" w:type="dxa"/>
              <w:bottom w:w="90" w:type="dxa"/>
              <w:end w:w="90" w:type="dxa"/>
            </w:tcMar>
            <w:vAlign w:val="top"/>
          </w:tcPr>
          <w:p>
            <w:r>
              <w:rPr>
                <w:sz w:val="17"/>
              </w:rPr>
              <w:t>Engineering improvement yield</w:t>
            </w:r>
          </w:p>
        </w:tc>
        <w:tc>
          <w:tcPr>
            <w:tcW w:type="dxa" w:w="4968"/>
            <w:tcMar>
              <w:top w:w="90" w:type="dxa"/>
              <w:start w:w="90" w:type="dxa"/>
              <w:bottom w:w="90" w:type="dxa"/>
              <w:end w:w="90" w:type="dxa"/>
            </w:tcMar>
            <w:vAlign w:val="top"/>
          </w:tcPr>
          <w:p>
            <w:r>
              <w:rPr>
                <w:sz w:val="17"/>
              </w:rPr>
              <w:t>Validated reductions in energy, cost, material use, or measurement burden</w:t>
            </w:r>
          </w:p>
        </w:tc>
      </w:tr>
      <w:tr>
        <w:tc>
          <w:tcPr>
            <w:tcW w:type="dxa" w:w="4968"/>
            <w:tcMar>
              <w:top w:w="90" w:type="dxa"/>
              <w:start w:w="90" w:type="dxa"/>
              <w:bottom w:w="90" w:type="dxa"/>
              <w:end w:w="90" w:type="dxa"/>
            </w:tcMar>
            <w:vAlign w:val="top"/>
          </w:tcPr>
          <w:p>
            <w:r>
              <w:rPr>
                <w:sz w:val="17"/>
              </w:rPr>
              <w:t>Negative-knowledge reuse</w:t>
            </w:r>
          </w:p>
        </w:tc>
        <w:tc>
          <w:tcPr>
            <w:tcW w:type="dxa" w:w="4968"/>
            <w:tcMar>
              <w:top w:w="90" w:type="dxa"/>
              <w:start w:w="90" w:type="dxa"/>
              <w:bottom w:w="90" w:type="dxa"/>
              <w:end w:w="90" w:type="dxa"/>
            </w:tcMar>
            <w:vAlign w:val="top"/>
          </w:tcPr>
          <w:p>
            <w:r>
              <w:rPr>
                <w:sz w:val="17"/>
              </w:rPr>
              <w:t>Reduction in repeated evaluation of previously rejected hypotheses</w:t>
            </w:r>
          </w:p>
        </w:tc>
      </w:tr>
      <w:tr>
        <w:tc>
          <w:tcPr>
            <w:tcW w:type="dxa" w:w="4968"/>
            <w:tcMar>
              <w:top w:w="90" w:type="dxa"/>
              <w:start w:w="90" w:type="dxa"/>
              <w:bottom w:w="90" w:type="dxa"/>
              <w:end w:w="90" w:type="dxa"/>
            </w:tcMar>
            <w:vAlign w:val="top"/>
          </w:tcPr>
          <w:p>
            <w:r>
              <w:rPr>
                <w:sz w:val="17"/>
              </w:rPr>
              <w:t>Time-to-validation</w:t>
            </w:r>
          </w:p>
        </w:tc>
        <w:tc>
          <w:tcPr>
            <w:tcW w:type="dxa" w:w="4968"/>
            <w:tcMar>
              <w:top w:w="90" w:type="dxa"/>
              <w:start w:w="90" w:type="dxa"/>
              <w:bottom w:w="90" w:type="dxa"/>
              <w:end w:w="90" w:type="dxa"/>
            </w:tcMar>
            <w:vAlign w:val="top"/>
          </w:tcPr>
          <w:p>
            <w:r>
              <w:rPr>
                <w:sz w:val="17"/>
              </w:rPr>
              <w:t>Elapsed time from candidate generation to a reproducible evidence package</w:t>
            </w:r>
          </w:p>
        </w:tc>
      </w:tr>
    </w:tbl>
    <w:p/>
    <w:p>
      <w:pPr>
        <w:pStyle w:val="Heading1"/>
      </w:pPr>
      <w:r>
        <w:t>17. What “Great Leap” Means in This Program</w:t>
      </w:r>
    </w:p>
    <w:p>
      <w:r>
        <w:t>The program shall not define success as producing spectacular claims. A “great leap” is operationally defined as a validated change that materially expands predictive capability, measurement capability, engineering performance, or useful scientific knowledge while surviving independent challenge.</w:t>
      </w:r>
    </w:p>
    <w:p>
      <w:pPr>
        <w:pStyle w:val="ListBullet"/>
      </w:pPr>
      <w:r>
        <w:t>A new mathematical model with new successful predictions.</w:t>
      </w:r>
    </w:p>
    <w:p>
      <w:pPr>
        <w:pStyle w:val="ListBullet"/>
      </w:pPr>
      <w:r>
        <w:t>A measurement method that reveals a previously inaccessible physical regime.</w:t>
      </w:r>
    </w:p>
    <w:p>
      <w:pPr>
        <w:pStyle w:val="ListBullet"/>
      </w:pPr>
      <w:r>
        <w:t>A validated energy/materials design with major efficiency or cost improvements.</w:t>
      </w:r>
    </w:p>
    <w:p>
      <w:pPr>
        <w:pStyle w:val="ListBullet"/>
      </w:pPr>
      <w:r>
        <w:t>A new cross-domain mechanism that transfers successfully between disciplines.</w:t>
      </w:r>
    </w:p>
    <w:p>
      <w:pPr>
        <w:pStyle w:val="ListBullet"/>
      </w:pPr>
      <w:r>
        <w:t>A substantially more informative experiment achieved with less resource consumption.</w:t>
      </w:r>
    </w:p>
    <w:p>
      <w:pPr>
        <w:pStyle w:val="Heading1"/>
      </w:pPr>
      <w:r>
        <w:t>18. Non-Technical Acceptance Criteria for Launch</w:t>
      </w:r>
    </w:p>
    <w:p>
      <w:pPr>
        <w:pStyle w:val="ListNumber"/>
      </w:pPr>
      <w:r>
        <w:t>Stakeholders agree on the scientific status taxonomy and evidence thresholds.</w:t>
      </w:r>
    </w:p>
    <w:p>
      <w:pPr>
        <w:pStyle w:val="ListNumber"/>
      </w:pPr>
      <w:r>
        <w:t>The first target scientific use case is narrow enough to validate end-to-end.</w:t>
      </w:r>
    </w:p>
    <w:p>
      <w:pPr>
        <w:pStyle w:val="ListNumber"/>
      </w:pPr>
      <w:r>
        <w:t>Budget and resource accounting are defined before large compute expenditures.</w:t>
      </w:r>
    </w:p>
    <w:p>
      <w:pPr>
        <w:pStyle w:val="ListNumber"/>
      </w:pPr>
      <w:r>
        <w:t>Roles for scientific review, engineering review, safety, data stewardship, and independent challenge are assigned.</w:t>
      </w:r>
    </w:p>
    <w:p>
      <w:pPr>
        <w:pStyle w:val="ListNumber"/>
      </w:pPr>
      <w:r>
        <w:t>The program can operate without dependence on any single LLM vendor.</w:t>
      </w:r>
    </w:p>
    <w:p>
      <w:pPr>
        <w:pStyle w:val="ListNumber"/>
      </w:pPr>
      <w:r>
        <w:t>The team accepts that unresolved questions may remain unresolved until new evidence is available.</w:t>
      </w:r>
    </w:p>
    <w:p>
      <w:pPr>
        <w:pStyle w:val="ListNumber"/>
      </w:pPr>
      <w:r>
        <w:t>The platform has an explicit process for translating validated scientific results into engineering prototypes.</w:t>
      </w:r>
    </w:p>
    <w:p>
      <w:pPr>
        <w:pStyle w:val="Heading1"/>
      </w:pPr>
      <w:r>
        <w:t>Appendix A — Working Terminology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Term</w:t>
            </w:r>
          </w:p>
        </w:tc>
        <w:tc>
          <w:tcPr>
            <w:tcW w:type="dxa" w:w="4968"/>
            <w:shd w:fill="17365D"/>
            <w:tcMar>
              <w:top w:w="90" w:type="dxa"/>
              <w:start w:w="90" w:type="dxa"/>
              <w:bottom w:w="90" w:type="dxa"/>
              <w:end w:w="90" w:type="dxa"/>
            </w:tcMar>
          </w:tcPr>
          <w:p>
            <w:r>
              <w:rPr>
                <w:b/>
                <w:color w:val="FFFFFF"/>
                <w:sz w:val="18"/>
              </w:rPr>
              <w:t>Working definition</w:t>
            </w:r>
          </w:p>
        </w:tc>
      </w:tr>
      <w:tr>
        <w:tc>
          <w:tcPr>
            <w:tcW w:type="dxa" w:w="4968"/>
            <w:tcMar>
              <w:top w:w="90" w:type="dxa"/>
              <w:start w:w="90" w:type="dxa"/>
              <w:bottom w:w="90" w:type="dxa"/>
              <w:end w:w="90" w:type="dxa"/>
            </w:tcMar>
            <w:vAlign w:val="top"/>
          </w:tcPr>
          <w:p>
            <w:r>
              <w:rPr>
                <w:sz w:val="17"/>
              </w:rPr>
              <w:t>Discovery engine</w:t>
            </w:r>
          </w:p>
        </w:tc>
        <w:tc>
          <w:tcPr>
            <w:tcW w:type="dxa" w:w="4968"/>
            <w:tcMar>
              <w:top w:w="90" w:type="dxa"/>
              <w:start w:w="90" w:type="dxa"/>
              <w:bottom w:w="90" w:type="dxa"/>
              <w:end w:w="90" w:type="dxa"/>
            </w:tcMar>
            <w:vAlign w:val="top"/>
          </w:tcPr>
          <w:p>
            <w:r>
              <w:rPr>
                <w:sz w:val="17"/>
              </w:rPr>
              <w:t>System that proposes and evaluates candidate explanations or models.</w:t>
            </w:r>
          </w:p>
        </w:tc>
      </w:tr>
      <w:tr>
        <w:tc>
          <w:tcPr>
            <w:tcW w:type="dxa" w:w="4968"/>
            <w:tcMar>
              <w:top w:w="90" w:type="dxa"/>
              <w:start w:w="90" w:type="dxa"/>
              <w:bottom w:w="90" w:type="dxa"/>
              <w:end w:w="90" w:type="dxa"/>
            </w:tcMar>
            <w:vAlign w:val="top"/>
          </w:tcPr>
          <w:p>
            <w:r>
              <w:rPr>
                <w:sz w:val="17"/>
              </w:rPr>
              <w:t>Residual</w:t>
            </w:r>
          </w:p>
        </w:tc>
        <w:tc>
          <w:tcPr>
            <w:tcW w:type="dxa" w:w="4968"/>
            <w:tcMar>
              <w:top w:w="90" w:type="dxa"/>
              <w:start w:w="90" w:type="dxa"/>
              <w:bottom w:w="90" w:type="dxa"/>
              <w:end w:w="90" w:type="dxa"/>
            </w:tcMar>
            <w:vAlign w:val="top"/>
          </w:tcPr>
          <w:p>
            <w:r>
              <w:rPr>
                <w:sz w:val="17"/>
              </w:rPr>
              <w:t>Difference between observation and model prediction, including uncertainty context.</w:t>
            </w:r>
          </w:p>
        </w:tc>
      </w:tr>
      <w:tr>
        <w:tc>
          <w:tcPr>
            <w:tcW w:type="dxa" w:w="4968"/>
            <w:tcMar>
              <w:top w:w="90" w:type="dxa"/>
              <w:start w:w="90" w:type="dxa"/>
              <w:bottom w:w="90" w:type="dxa"/>
              <w:end w:w="90" w:type="dxa"/>
            </w:tcMar>
            <w:vAlign w:val="top"/>
          </w:tcPr>
          <w:p>
            <w:r>
              <w:rPr>
                <w:sz w:val="17"/>
              </w:rPr>
              <w:t>Null model</w:t>
            </w:r>
          </w:p>
        </w:tc>
        <w:tc>
          <w:tcPr>
            <w:tcW w:type="dxa" w:w="4968"/>
            <w:tcMar>
              <w:top w:w="90" w:type="dxa"/>
              <w:start w:w="90" w:type="dxa"/>
              <w:bottom w:w="90" w:type="dxa"/>
              <w:end w:w="90" w:type="dxa"/>
            </w:tcMar>
            <w:vAlign w:val="top"/>
          </w:tcPr>
          <w:p>
            <w:r>
              <w:rPr>
                <w:sz w:val="17"/>
              </w:rPr>
              <w:t>Reference explanation against which anomaly significance is measured.</w:t>
            </w:r>
          </w:p>
        </w:tc>
      </w:tr>
      <w:tr>
        <w:tc>
          <w:tcPr>
            <w:tcW w:type="dxa" w:w="4968"/>
            <w:tcMar>
              <w:top w:w="90" w:type="dxa"/>
              <w:start w:w="90" w:type="dxa"/>
              <w:bottom w:w="90" w:type="dxa"/>
              <w:end w:w="90" w:type="dxa"/>
            </w:tcMar>
            <w:vAlign w:val="top"/>
          </w:tcPr>
          <w:p>
            <w:r>
              <w:rPr>
                <w:sz w:val="17"/>
              </w:rPr>
              <w:t>Exotic model</w:t>
            </w:r>
          </w:p>
        </w:tc>
        <w:tc>
          <w:tcPr>
            <w:tcW w:type="dxa" w:w="4968"/>
            <w:tcMar>
              <w:top w:w="90" w:type="dxa"/>
              <w:start w:w="90" w:type="dxa"/>
              <w:bottom w:w="90" w:type="dxa"/>
              <w:end w:w="90" w:type="dxa"/>
            </w:tcMar>
            <w:vAlign w:val="top"/>
          </w:tcPr>
          <w:p>
            <w:r>
              <w:rPr>
                <w:sz w:val="17"/>
              </w:rPr>
              <w:t>Model outside the baseline conventional model library; not synonymous with “true”.</w:t>
            </w:r>
          </w:p>
        </w:tc>
      </w:tr>
      <w:tr>
        <w:tc>
          <w:tcPr>
            <w:tcW w:type="dxa" w:w="4968"/>
            <w:tcMar>
              <w:top w:w="90" w:type="dxa"/>
              <w:start w:w="90" w:type="dxa"/>
              <w:bottom w:w="90" w:type="dxa"/>
              <w:end w:w="90" w:type="dxa"/>
            </w:tcMar>
            <w:vAlign w:val="top"/>
          </w:tcPr>
          <w:p>
            <w:r>
              <w:rPr>
                <w:sz w:val="17"/>
              </w:rPr>
              <w:t>Negative knowledge</w:t>
            </w:r>
          </w:p>
        </w:tc>
        <w:tc>
          <w:tcPr>
            <w:tcW w:type="dxa" w:w="4968"/>
            <w:tcMar>
              <w:top w:w="90" w:type="dxa"/>
              <w:start w:w="90" w:type="dxa"/>
              <w:bottom w:w="90" w:type="dxa"/>
              <w:end w:w="90" w:type="dxa"/>
            </w:tcMar>
            <w:vAlign w:val="top"/>
          </w:tcPr>
          <w:p>
            <w:r>
              <w:rPr>
                <w:sz w:val="17"/>
              </w:rPr>
              <w:t>Structured record of hypotheses, tests, and reasons for failure.</w:t>
            </w:r>
          </w:p>
        </w:tc>
      </w:tr>
      <w:tr>
        <w:tc>
          <w:tcPr>
            <w:tcW w:type="dxa" w:w="4968"/>
            <w:tcMar>
              <w:top w:w="90" w:type="dxa"/>
              <w:start w:w="90" w:type="dxa"/>
              <w:bottom w:w="90" w:type="dxa"/>
              <w:end w:w="90" w:type="dxa"/>
            </w:tcMar>
            <w:vAlign w:val="top"/>
          </w:tcPr>
          <w:p>
            <w:r>
              <w:rPr>
                <w:sz w:val="17"/>
              </w:rPr>
              <w:t>Information gain</w:t>
            </w:r>
          </w:p>
        </w:tc>
        <w:tc>
          <w:tcPr>
            <w:tcW w:type="dxa" w:w="4968"/>
            <w:tcMar>
              <w:top w:w="90" w:type="dxa"/>
              <w:start w:w="90" w:type="dxa"/>
              <w:bottom w:w="90" w:type="dxa"/>
              <w:end w:w="90" w:type="dxa"/>
            </w:tcMar>
            <w:vAlign w:val="top"/>
          </w:tcPr>
          <w:p>
            <w:r>
              <w:rPr>
                <w:sz w:val="17"/>
              </w:rPr>
              <w:t>Reduction in uncertainty attributable to new evidence under a chosen formalism.</w:t>
            </w:r>
          </w:p>
        </w:tc>
      </w:tr>
      <w:tr>
        <w:tc>
          <w:tcPr>
            <w:tcW w:type="dxa" w:w="4968"/>
            <w:tcMar>
              <w:top w:w="90" w:type="dxa"/>
              <w:start w:w="90" w:type="dxa"/>
              <w:bottom w:w="90" w:type="dxa"/>
              <w:end w:w="90" w:type="dxa"/>
            </w:tcMar>
            <w:vAlign w:val="top"/>
          </w:tcPr>
          <w:p>
            <w:r>
              <w:rPr>
                <w:sz w:val="17"/>
              </w:rPr>
              <w:t>Scientific information efficiency</w:t>
            </w:r>
          </w:p>
        </w:tc>
        <w:tc>
          <w:tcPr>
            <w:tcW w:type="dxa" w:w="4968"/>
            <w:tcMar>
              <w:top w:w="90" w:type="dxa"/>
              <w:start w:w="90" w:type="dxa"/>
              <w:bottom w:w="90" w:type="dxa"/>
              <w:end w:w="90" w:type="dxa"/>
            </w:tcMar>
            <w:vAlign w:val="top"/>
          </w:tcPr>
          <w:p>
            <w:r>
              <w:rPr>
                <w:sz w:val="17"/>
              </w:rPr>
              <w:t>Information gain relative to resource consumption; an engineering metric.</w:t>
            </w:r>
          </w:p>
        </w:tc>
      </w:tr>
      <w:tr>
        <w:tc>
          <w:tcPr>
            <w:tcW w:type="dxa" w:w="4968"/>
            <w:tcMar>
              <w:top w:w="90" w:type="dxa"/>
              <w:start w:w="90" w:type="dxa"/>
              <w:bottom w:w="90" w:type="dxa"/>
              <w:end w:w="90" w:type="dxa"/>
            </w:tcMar>
            <w:vAlign w:val="top"/>
          </w:tcPr>
          <w:p>
            <w:r>
              <w:rPr>
                <w:sz w:val="17"/>
              </w:rPr>
              <w:t>Engineering-ready</w:t>
            </w:r>
          </w:p>
        </w:tc>
        <w:tc>
          <w:tcPr>
            <w:tcW w:type="dxa" w:w="4968"/>
            <w:tcMar>
              <w:top w:w="90" w:type="dxa"/>
              <w:start w:w="90" w:type="dxa"/>
              <w:bottom w:w="90" w:type="dxa"/>
              <w:end w:w="90" w:type="dxa"/>
            </w:tcMar>
            <w:vAlign w:val="top"/>
          </w:tcPr>
          <w:p>
            <w:r>
              <w:rPr>
                <w:sz w:val="17"/>
              </w:rPr>
              <w:t>Evidence and safety sufficient for controlled practical deployment.</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AUTONOMOUS PHYSICS &amp; ENGINEERING DISCOVERY PLATFORM  |  Working Specification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 w:type="paragraph" w:customStyle="1" w:styleId="Requirement">
    <w:name w:val="Requirement"/>
    <w:pPr>
      <w:spacing w:after="6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