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26"/>
        </w:rPr>
        <w:t>AUTONOMOUS PHYSICS &amp; ENGINEERING DISCOVERY PLATFORM</w:t>
      </w:r>
    </w:p>
    <w:p>
      <w:pPr>
        <w:pStyle w:val="Title"/>
        <w:jc w:val="center"/>
      </w:pPr>
      <w:r>
        <w:t>Scientific Discovery &amp; Metrology Architecture Specification</w:t>
      </w:r>
    </w:p>
    <w:p>
      <w:pPr>
        <w:jc w:val="center"/>
      </w:pPr>
      <w:r>
        <w:rPr>
          <w:i/>
          <w:sz w:val="22"/>
        </w:rPr>
        <w:t>Measurement science, identifiability, discovery statistics, model-space coverage, scale bridging and unknown-unknown discovery</w:t>
      </w:r>
    </w:p>
    <w:p>
      <w:pPr>
        <w:jc w:val="center"/>
      </w:pPr>
      <w:r>
        <w:rPr>
          <w:sz w:val="20"/>
        </w:rPr>
        <w:t>Version 1.0 • September 2026 • Architecture Extension / Research Baseline</w:t>
      </w:r>
    </w:p>
    <w:p>
      <w:pPr>
        <w:pStyle w:val="Callout"/>
      </w:pPr>
      <w:r>
        <w:rPr>
          <w:b/>
        </w:rPr>
        <w:t xml:space="preserve">PURPOSE. </w:t>
      </w:r>
      <w:r>
        <w:t>This specification defines the scientific architecture required beyond the baseline technical, operating-model and assurance documents. It addresses the remaining deep gaps between anomaly detection, trustworthy measurement, genuine model discovery, scalable simulation and practical scientific discovery.</w:t>
      </w:r>
    </w:p>
    <w:p>
      <w:pPr>
        <w:pStyle w:val="Callout"/>
      </w:pPr>
      <w:r>
        <w:rPr>
          <w:b/>
        </w:rPr>
        <w:t xml:space="preserve">POSITIONING. </w:t>
      </w:r>
      <w:r>
        <w:t>This document does not introduce a new physical law. It defines software, mathematical, statistical and measurement architecture for discovering and testing candidate relationships. Any new physical formulation remains a hypothesis until independently validated.</w:t>
      </w:r>
    </w:p>
    <w:p>
      <w:r>
        <w:br w:type="page"/>
      </w:r>
    </w:p>
    <w:p>
      <w:pPr>
        <w:pStyle w:val="Heading1"/>
      </w:pPr>
      <w:r>
        <w:t>1. Why This Extension Exists</w:t>
      </w:r>
    </w:p>
    <w:p>
      <w:r>
        <w:t>The existing APEDP requirements establish what the platform builds and how claims earn trust. This extension addresses a deeper question: whether the platform is measuring the right thing, searching a sufficiently broad model space, handling statistical search effects correctly, and bridging physical scales without hiding model discrepancy.</w:t>
      </w:r>
    </w:p>
    <w:p>
      <w:pPr>
        <w:spacing w:before="80" w:after="80"/>
        <w:jc w:val="center"/>
      </w:pPr>
      <w:r>
        <w:rPr>
          <w:b/>
          <w:sz w:val="22"/>
        </w:rPr>
        <w:t>Observation → Measurement → Identification → Model Space → Discovery Search → Validation → Prediction → Replication</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3744"/>
            <w:vAlign w:val="center"/>
            <w:tcMar>
              <w:top w:w="80" w:type="dxa"/>
              <w:start w:w="90" w:type="dxa"/>
              <w:bottom w:w="80" w:type="dxa"/>
              <w:end w:w="90" w:type="dxa"/>
            </w:tcMar>
            <w:shd w:fill="1F4E78"/>
          </w:tcPr>
          <w:p>
            <w:pPr>
              <w:spacing w:after="40"/>
            </w:pPr>
            <w:r>
              <w:rPr>
                <w:b/>
                <w:sz w:val="17"/>
              </w:rPr>
              <w:t>Existing capability</w:t>
            </w:r>
          </w:p>
        </w:tc>
        <w:tc>
          <w:tcPr>
            <w:tcW w:type="dxa" w:w="6048"/>
            <w:vAlign w:val="center"/>
            <w:tcMar>
              <w:top w:w="80" w:type="dxa"/>
              <w:start w:w="90" w:type="dxa"/>
              <w:bottom w:w="80" w:type="dxa"/>
              <w:end w:w="90" w:type="dxa"/>
            </w:tcMar>
            <w:shd w:fill="1F4E78"/>
          </w:tcPr>
          <w:p>
            <w:pPr>
              <w:spacing w:after="40"/>
            </w:pPr>
            <w:r>
              <w:rPr>
                <w:b/>
                <w:sz w:val="17"/>
              </w:rPr>
              <w:t>Remaining gap addressed here</w:t>
            </w:r>
          </w:p>
        </w:tc>
      </w:tr>
      <w:tr>
        <w:tc>
          <w:tcPr>
            <w:tcW w:type="dxa" w:w="3744"/>
            <w:vAlign w:val="center"/>
            <w:tcMar>
              <w:top w:w="80" w:type="dxa"/>
              <w:start w:w="90" w:type="dxa"/>
              <w:bottom w:w="80" w:type="dxa"/>
              <w:end w:w="90" w:type="dxa"/>
            </w:tcMar>
          </w:tcPr>
          <w:p>
            <w:pPr>
              <w:spacing w:after="40"/>
            </w:pPr>
            <w:r>
              <w:rPr>
                <w:sz w:val="17"/>
              </w:rPr>
              <w:t>Uncertainty and calibration</w:t>
            </w:r>
          </w:p>
        </w:tc>
        <w:tc>
          <w:tcPr>
            <w:tcW w:type="dxa" w:w="6048"/>
            <w:vAlign w:val="center"/>
            <w:tcMar>
              <w:top w:w="80" w:type="dxa"/>
              <w:start w:w="90" w:type="dxa"/>
              <w:bottom w:w="80" w:type="dxa"/>
              <w:end w:w="90" w:type="dxa"/>
            </w:tcMar>
          </w:tcPr>
          <w:p>
            <w:pPr>
              <w:spacing w:after="40"/>
            </w:pPr>
            <w:r>
              <w:rPr>
                <w:sz w:val="17"/>
              </w:rPr>
              <w:t>Full metrology, traceability and measurand definition</w:t>
            </w:r>
          </w:p>
        </w:tc>
      </w:tr>
      <w:tr>
        <w:tc>
          <w:tcPr>
            <w:tcW w:type="dxa" w:w="3744"/>
            <w:vAlign w:val="center"/>
            <w:tcMar>
              <w:top w:w="80" w:type="dxa"/>
              <w:start w:w="90" w:type="dxa"/>
              <w:bottom w:w="80" w:type="dxa"/>
              <w:end w:w="90" w:type="dxa"/>
            </w:tcMar>
          </w:tcPr>
          <w:p>
            <w:pPr>
              <w:spacing w:after="40"/>
            </w:pPr>
            <w:r>
              <w:rPr>
                <w:sz w:val="17"/>
              </w:rPr>
              <w:t>Anomaly detection</w:t>
            </w:r>
          </w:p>
        </w:tc>
        <w:tc>
          <w:tcPr>
            <w:tcW w:type="dxa" w:w="6048"/>
            <w:vAlign w:val="center"/>
            <w:tcMar>
              <w:top w:w="80" w:type="dxa"/>
              <w:start w:w="90" w:type="dxa"/>
              <w:bottom w:w="80" w:type="dxa"/>
              <w:end w:w="90" w:type="dxa"/>
            </w:tcMar>
          </w:tcPr>
          <w:p>
            <w:pPr>
              <w:spacing w:after="40"/>
            </w:pPr>
            <w:r>
              <w:rPr>
                <w:sz w:val="17"/>
              </w:rPr>
              <w:t>Multiple-testing, search-space and discovery statistics</w:t>
            </w:r>
          </w:p>
        </w:tc>
      </w:tr>
      <w:tr>
        <w:tc>
          <w:tcPr>
            <w:tcW w:type="dxa" w:w="3744"/>
            <w:vAlign w:val="center"/>
            <w:tcMar>
              <w:top w:w="80" w:type="dxa"/>
              <w:start w:w="90" w:type="dxa"/>
              <w:bottom w:w="80" w:type="dxa"/>
              <w:end w:w="90" w:type="dxa"/>
            </w:tcMar>
          </w:tcPr>
          <w:p>
            <w:pPr>
              <w:spacing w:after="40"/>
            </w:pPr>
            <w:r>
              <w:rPr>
                <w:sz w:val="17"/>
              </w:rPr>
              <w:t>Model-space expansion</w:t>
            </w:r>
          </w:p>
        </w:tc>
        <w:tc>
          <w:tcPr>
            <w:tcW w:type="dxa" w:w="6048"/>
            <w:vAlign w:val="center"/>
            <w:tcMar>
              <w:top w:w="80" w:type="dxa"/>
              <w:start w:w="90" w:type="dxa"/>
              <w:bottom w:w="80" w:type="dxa"/>
              <w:end w:w="90" w:type="dxa"/>
            </w:tcMar>
          </w:tcPr>
          <w:p>
            <w:pPr>
              <w:spacing w:after="40"/>
            </w:pPr>
            <w:r>
              <w:rPr>
                <w:sz w:val="17"/>
              </w:rPr>
              <w:t>Formal coverage accounting and unknown-unknown protocol</w:t>
            </w:r>
          </w:p>
        </w:tc>
      </w:tr>
      <w:tr>
        <w:tc>
          <w:tcPr>
            <w:tcW w:type="dxa" w:w="3744"/>
            <w:vAlign w:val="center"/>
            <w:tcMar>
              <w:top w:w="80" w:type="dxa"/>
              <w:start w:w="90" w:type="dxa"/>
              <w:bottom w:w="80" w:type="dxa"/>
              <w:end w:w="90" w:type="dxa"/>
            </w:tcMar>
          </w:tcPr>
          <w:p>
            <w:pPr>
              <w:spacing w:after="40"/>
            </w:pPr>
            <w:r>
              <w:rPr>
                <w:sz w:val="17"/>
              </w:rPr>
              <w:t>Multiphysics domains</w:t>
            </w:r>
          </w:p>
        </w:tc>
        <w:tc>
          <w:tcPr>
            <w:tcW w:type="dxa" w:w="6048"/>
            <w:vAlign w:val="center"/>
            <w:tcMar>
              <w:top w:w="80" w:type="dxa"/>
              <w:start w:w="90" w:type="dxa"/>
              <w:bottom w:w="80" w:type="dxa"/>
              <w:end w:w="90" w:type="dxa"/>
            </w:tcMar>
          </w:tcPr>
          <w:p>
            <w:pPr>
              <w:spacing w:after="40"/>
            </w:pPr>
            <w:r>
              <w:rPr>
                <w:sz w:val="17"/>
              </w:rPr>
              <w:t>Cross-scale consistency and scale-bridging</w:t>
            </w:r>
          </w:p>
        </w:tc>
      </w:tr>
      <w:tr>
        <w:tc>
          <w:tcPr>
            <w:tcW w:type="dxa" w:w="3744"/>
            <w:vAlign w:val="center"/>
            <w:tcMar>
              <w:top w:w="80" w:type="dxa"/>
              <w:start w:w="90" w:type="dxa"/>
              <w:bottom w:w="80" w:type="dxa"/>
              <w:end w:w="90" w:type="dxa"/>
            </w:tcMar>
          </w:tcPr>
          <w:p>
            <w:pPr>
              <w:spacing w:after="40"/>
            </w:pPr>
            <w:r>
              <w:rPr>
                <w:sz w:val="17"/>
              </w:rPr>
              <w:t>Simulation</w:t>
            </w:r>
          </w:p>
        </w:tc>
        <w:tc>
          <w:tcPr>
            <w:tcW w:type="dxa" w:w="6048"/>
            <w:vAlign w:val="center"/>
            <w:tcMar>
              <w:top w:w="80" w:type="dxa"/>
              <w:start w:w="90" w:type="dxa"/>
              <w:bottom w:w="80" w:type="dxa"/>
              <w:end w:w="90" w:type="dxa"/>
            </w:tcMar>
          </w:tcPr>
          <w:p>
            <w:pPr>
              <w:spacing w:after="40"/>
            </w:pPr>
            <w:r>
              <w:rPr>
                <w:sz w:val="17"/>
              </w:rPr>
              <w:t>Model discrepancy, multi-fidelity and digital twins</w:t>
            </w:r>
          </w:p>
        </w:tc>
      </w:tr>
      <w:tr>
        <w:tc>
          <w:tcPr>
            <w:tcW w:type="dxa" w:w="3744"/>
            <w:vAlign w:val="center"/>
            <w:tcMar>
              <w:top w:w="80" w:type="dxa"/>
              <w:start w:w="90" w:type="dxa"/>
              <w:bottom w:w="80" w:type="dxa"/>
              <w:end w:w="90" w:type="dxa"/>
            </w:tcMar>
          </w:tcPr>
          <w:p>
            <w:pPr>
              <w:spacing w:after="40"/>
            </w:pPr>
            <w:r>
              <w:rPr>
                <w:sz w:val="17"/>
              </w:rPr>
              <w:t>Mathematical discovery</w:t>
            </w:r>
          </w:p>
        </w:tc>
        <w:tc>
          <w:tcPr>
            <w:tcW w:type="dxa" w:w="6048"/>
            <w:vAlign w:val="center"/>
            <w:tcMar>
              <w:top w:w="80" w:type="dxa"/>
              <w:start w:w="90" w:type="dxa"/>
              <w:bottom w:w="80" w:type="dxa"/>
              <w:end w:w="90" w:type="dxa"/>
            </w:tcMar>
          </w:tcPr>
          <w:p>
            <w:pPr>
              <w:spacing w:after="40"/>
            </w:pPr>
            <w:r>
              <w:rPr>
                <w:sz w:val="17"/>
              </w:rPr>
              <w:t>Symmetry, invariants, dimensionless groups and emergence</w:t>
            </w:r>
          </w:p>
        </w:tc>
      </w:tr>
      <w:tr>
        <w:tc>
          <w:tcPr>
            <w:tcW w:type="dxa" w:w="3744"/>
            <w:vAlign w:val="center"/>
            <w:tcMar>
              <w:top w:w="80" w:type="dxa"/>
              <w:start w:w="90" w:type="dxa"/>
              <w:bottom w:w="80" w:type="dxa"/>
              <w:end w:w="90" w:type="dxa"/>
            </w:tcMar>
          </w:tcPr>
          <w:p>
            <w:pPr>
              <w:spacing w:after="40"/>
            </w:pPr>
            <w:r>
              <w:rPr>
                <w:sz w:val="17"/>
              </w:rPr>
              <w:t>Experiment planning</w:t>
            </w:r>
          </w:p>
        </w:tc>
        <w:tc>
          <w:tcPr>
            <w:tcW w:type="dxa" w:w="6048"/>
            <w:vAlign w:val="center"/>
            <w:tcMar>
              <w:top w:w="80" w:type="dxa"/>
              <w:start w:w="90" w:type="dxa"/>
              <w:bottom w:w="80" w:type="dxa"/>
              <w:end w:w="90" w:type="dxa"/>
            </w:tcMar>
          </w:tcPr>
          <w:p>
            <w:pPr>
              <w:spacing w:after="40"/>
            </w:pPr>
            <w:r>
              <w:rPr>
                <w:sz w:val="17"/>
              </w:rPr>
              <w:t>Portfolio/resource optimization and diversity of confirmation</w:t>
            </w:r>
          </w:p>
        </w:tc>
      </w:tr>
    </w:tbl>
    <w:p>
      <w:pPr>
        <w:pStyle w:val="Heading1"/>
      </w:pPr>
      <w:r>
        <w:t>2. Architectural Principles</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3096"/>
            <w:vAlign w:val="center"/>
            <w:tcMar>
              <w:top w:w="80" w:type="dxa"/>
              <w:start w:w="90" w:type="dxa"/>
              <w:bottom w:w="80" w:type="dxa"/>
              <w:end w:w="90" w:type="dxa"/>
            </w:tcMar>
            <w:shd w:fill="1F4E78"/>
          </w:tcPr>
          <w:p>
            <w:pPr>
              <w:spacing w:after="40"/>
            </w:pPr>
            <w:r>
              <w:rPr>
                <w:b/>
                <w:sz w:val="17"/>
              </w:rPr>
              <w:t>Principle</w:t>
            </w:r>
          </w:p>
        </w:tc>
        <w:tc>
          <w:tcPr>
            <w:tcW w:type="dxa" w:w="6696"/>
            <w:vAlign w:val="center"/>
            <w:tcMar>
              <w:top w:w="80" w:type="dxa"/>
              <w:start w:w="90" w:type="dxa"/>
              <w:bottom w:w="80" w:type="dxa"/>
              <w:end w:w="90" w:type="dxa"/>
            </w:tcMar>
            <w:shd w:fill="1F4E78"/>
          </w:tcPr>
          <w:p>
            <w:pPr>
              <w:spacing w:after="40"/>
            </w:pPr>
            <w:r>
              <w:rPr>
                <w:b/>
                <w:sz w:val="17"/>
              </w:rPr>
              <w:t>Requirement</w:t>
            </w:r>
          </w:p>
        </w:tc>
      </w:tr>
      <w:tr>
        <w:tc>
          <w:tcPr>
            <w:tcW w:type="dxa" w:w="3096"/>
            <w:vAlign w:val="center"/>
            <w:tcMar>
              <w:top w:w="80" w:type="dxa"/>
              <w:start w:w="90" w:type="dxa"/>
              <w:bottom w:w="80" w:type="dxa"/>
              <w:end w:w="90" w:type="dxa"/>
            </w:tcMar>
          </w:tcPr>
          <w:p>
            <w:pPr>
              <w:spacing w:after="40"/>
            </w:pPr>
            <w:r>
              <w:rPr>
                <w:sz w:val="17"/>
              </w:rPr>
              <w:t>M1 — Measurement before inference</w:t>
            </w:r>
          </w:p>
        </w:tc>
        <w:tc>
          <w:tcPr>
            <w:tcW w:type="dxa" w:w="6696"/>
            <w:vAlign w:val="center"/>
            <w:tcMar>
              <w:top w:w="80" w:type="dxa"/>
              <w:start w:w="90" w:type="dxa"/>
              <w:bottom w:w="80" w:type="dxa"/>
              <w:end w:w="90" w:type="dxa"/>
            </w:tcMar>
          </w:tcPr>
          <w:p>
            <w:pPr>
              <w:spacing w:after="40"/>
            </w:pPr>
            <w:r>
              <w:rPr>
                <w:sz w:val="17"/>
              </w:rPr>
              <w:t>Define the measurand and measurement chain before interpreting anomalies.</w:t>
            </w:r>
          </w:p>
        </w:tc>
      </w:tr>
      <w:tr>
        <w:tc>
          <w:tcPr>
            <w:tcW w:type="dxa" w:w="3096"/>
            <w:vAlign w:val="center"/>
            <w:tcMar>
              <w:top w:w="80" w:type="dxa"/>
              <w:start w:w="90" w:type="dxa"/>
              <w:bottom w:w="80" w:type="dxa"/>
              <w:end w:w="90" w:type="dxa"/>
            </w:tcMar>
          </w:tcPr>
          <w:p>
            <w:pPr>
              <w:spacing w:after="40"/>
            </w:pPr>
            <w:r>
              <w:rPr>
                <w:sz w:val="17"/>
              </w:rPr>
              <w:t>M2 — Identifiability before interpretation</w:t>
            </w:r>
          </w:p>
        </w:tc>
        <w:tc>
          <w:tcPr>
            <w:tcW w:type="dxa" w:w="6696"/>
            <w:vAlign w:val="center"/>
            <w:tcMar>
              <w:top w:w="80" w:type="dxa"/>
              <w:start w:w="90" w:type="dxa"/>
              <w:bottom w:w="80" w:type="dxa"/>
              <w:end w:w="90" w:type="dxa"/>
            </w:tcMar>
          </w:tcPr>
          <w:p>
            <w:pPr>
              <w:spacing w:after="40"/>
            </w:pPr>
            <w:r>
              <w:rPr>
                <w:sz w:val="17"/>
              </w:rPr>
              <w:t>A model cannot be promoted if parameters or hypotheses are observationally non-identifiable.</w:t>
            </w:r>
          </w:p>
        </w:tc>
      </w:tr>
      <w:tr>
        <w:tc>
          <w:tcPr>
            <w:tcW w:type="dxa" w:w="3096"/>
            <w:vAlign w:val="center"/>
            <w:tcMar>
              <w:top w:w="80" w:type="dxa"/>
              <w:start w:w="90" w:type="dxa"/>
              <w:bottom w:w="80" w:type="dxa"/>
              <w:end w:w="90" w:type="dxa"/>
            </w:tcMar>
          </w:tcPr>
          <w:p>
            <w:pPr>
              <w:spacing w:after="40"/>
            </w:pPr>
            <w:r>
              <w:rPr>
                <w:sz w:val="17"/>
              </w:rPr>
              <w:t>M3 — Search accounting is evidence</w:t>
            </w:r>
          </w:p>
        </w:tc>
        <w:tc>
          <w:tcPr>
            <w:tcW w:type="dxa" w:w="6696"/>
            <w:vAlign w:val="center"/>
            <w:tcMar>
              <w:top w:w="80" w:type="dxa"/>
              <w:start w:w="90" w:type="dxa"/>
              <w:bottom w:w="80" w:type="dxa"/>
              <w:end w:w="90" w:type="dxa"/>
            </w:tcMar>
          </w:tcPr>
          <w:p>
            <w:pPr>
              <w:spacing w:after="40"/>
            </w:pPr>
            <w:r>
              <w:rPr>
                <w:sz w:val="17"/>
              </w:rPr>
              <w:t>Claims must record what was searched, how completely, and what remained outside the search.</w:t>
            </w:r>
          </w:p>
        </w:tc>
      </w:tr>
      <w:tr>
        <w:tc>
          <w:tcPr>
            <w:tcW w:type="dxa" w:w="3096"/>
            <w:vAlign w:val="center"/>
            <w:tcMar>
              <w:top w:w="80" w:type="dxa"/>
              <w:start w:w="90" w:type="dxa"/>
              <w:bottom w:w="80" w:type="dxa"/>
              <w:end w:w="90" w:type="dxa"/>
            </w:tcMar>
          </w:tcPr>
          <w:p>
            <w:pPr>
              <w:spacing w:after="40"/>
            </w:pPr>
            <w:r>
              <w:rPr>
                <w:sz w:val="17"/>
              </w:rPr>
              <w:t>M4 — Model discrepancy is explicit</w:t>
            </w:r>
          </w:p>
        </w:tc>
        <w:tc>
          <w:tcPr>
            <w:tcW w:type="dxa" w:w="6696"/>
            <w:vAlign w:val="center"/>
            <w:tcMar>
              <w:top w:w="80" w:type="dxa"/>
              <w:start w:w="90" w:type="dxa"/>
              <w:bottom w:w="80" w:type="dxa"/>
              <w:end w:w="90" w:type="dxa"/>
            </w:tcMar>
          </w:tcPr>
          <w:p>
            <w:pPr>
              <w:spacing w:after="40"/>
            </w:pPr>
            <w:r>
              <w:rPr>
                <w:sz w:val="17"/>
              </w:rPr>
              <w:t>Residuals must distinguish random noise from systematic model inadequacy.</w:t>
            </w:r>
          </w:p>
        </w:tc>
      </w:tr>
      <w:tr>
        <w:tc>
          <w:tcPr>
            <w:tcW w:type="dxa" w:w="3096"/>
            <w:vAlign w:val="center"/>
            <w:tcMar>
              <w:top w:w="80" w:type="dxa"/>
              <w:start w:w="90" w:type="dxa"/>
              <w:bottom w:w="80" w:type="dxa"/>
              <w:end w:w="90" w:type="dxa"/>
            </w:tcMar>
          </w:tcPr>
          <w:p>
            <w:pPr>
              <w:spacing w:after="40"/>
            </w:pPr>
            <w:r>
              <w:rPr>
                <w:sz w:val="17"/>
              </w:rPr>
              <w:t>M5 — Discovery differs from optimization</w:t>
            </w:r>
          </w:p>
        </w:tc>
        <w:tc>
          <w:tcPr>
            <w:tcW w:type="dxa" w:w="6696"/>
            <w:vAlign w:val="center"/>
            <w:tcMar>
              <w:top w:w="80" w:type="dxa"/>
              <w:start w:w="90" w:type="dxa"/>
              <w:bottom w:w="80" w:type="dxa"/>
              <w:end w:w="90" w:type="dxa"/>
            </w:tcMar>
          </w:tcPr>
          <w:p>
            <w:pPr>
              <w:spacing w:after="40"/>
            </w:pPr>
            <w:r>
              <w:rPr>
                <w:sz w:val="17"/>
              </w:rPr>
              <w:t>Optimization improves performance inside a model; discovery can change the model space.</w:t>
            </w:r>
          </w:p>
        </w:tc>
      </w:tr>
      <w:tr>
        <w:tc>
          <w:tcPr>
            <w:tcW w:type="dxa" w:w="3096"/>
            <w:vAlign w:val="center"/>
            <w:tcMar>
              <w:top w:w="80" w:type="dxa"/>
              <w:start w:w="90" w:type="dxa"/>
              <w:bottom w:w="80" w:type="dxa"/>
              <w:end w:w="90" w:type="dxa"/>
            </w:tcMar>
          </w:tcPr>
          <w:p>
            <w:pPr>
              <w:spacing w:after="40"/>
            </w:pPr>
            <w:r>
              <w:rPr>
                <w:sz w:val="17"/>
              </w:rPr>
              <w:t>M6 — Scale transitions are governed</w:t>
            </w:r>
          </w:p>
        </w:tc>
        <w:tc>
          <w:tcPr>
            <w:tcW w:type="dxa" w:w="6696"/>
            <w:vAlign w:val="center"/>
            <w:tcMar>
              <w:top w:w="80" w:type="dxa"/>
              <w:start w:w="90" w:type="dxa"/>
              <w:bottom w:w="80" w:type="dxa"/>
              <w:end w:w="90" w:type="dxa"/>
            </w:tcMar>
          </w:tcPr>
          <w:p>
            <w:pPr>
              <w:spacing w:after="40"/>
            </w:pPr>
            <w:r>
              <w:rPr>
                <w:sz w:val="17"/>
              </w:rPr>
              <w:t>Quantum-to-system claims require explicit bridging models and error budgets.</w:t>
            </w:r>
          </w:p>
        </w:tc>
      </w:tr>
      <w:tr>
        <w:tc>
          <w:tcPr>
            <w:tcW w:type="dxa" w:w="3096"/>
            <w:vAlign w:val="center"/>
            <w:tcMar>
              <w:top w:w="80" w:type="dxa"/>
              <w:start w:w="90" w:type="dxa"/>
              <w:bottom w:w="80" w:type="dxa"/>
              <w:end w:w="90" w:type="dxa"/>
            </w:tcMar>
          </w:tcPr>
          <w:p>
            <w:pPr>
              <w:spacing w:after="40"/>
            </w:pPr>
            <w:r>
              <w:rPr>
                <w:sz w:val="17"/>
              </w:rPr>
              <w:t>M7 — Independent mechanisms matter</w:t>
            </w:r>
          </w:p>
        </w:tc>
        <w:tc>
          <w:tcPr>
            <w:tcW w:type="dxa" w:w="6696"/>
            <w:vAlign w:val="center"/>
            <w:tcMar>
              <w:top w:w="80" w:type="dxa"/>
              <w:start w:w="90" w:type="dxa"/>
              <w:bottom w:w="80" w:type="dxa"/>
              <w:end w:w="90" w:type="dxa"/>
            </w:tcMar>
          </w:tcPr>
          <w:p>
            <w:pPr>
              <w:spacing w:after="40"/>
            </w:pPr>
            <w:r>
              <w:rPr>
                <w:sz w:val="17"/>
              </w:rPr>
              <w:t>Confirmation should favor measurement diversity and independent pipelines.</w:t>
            </w:r>
          </w:p>
        </w:tc>
      </w:tr>
      <w:tr>
        <w:tc>
          <w:tcPr>
            <w:tcW w:type="dxa" w:w="3096"/>
            <w:vAlign w:val="center"/>
            <w:tcMar>
              <w:top w:w="80" w:type="dxa"/>
              <w:start w:w="90" w:type="dxa"/>
              <w:bottom w:w="80" w:type="dxa"/>
              <w:end w:w="90" w:type="dxa"/>
            </w:tcMar>
          </w:tcPr>
          <w:p>
            <w:pPr>
              <w:spacing w:after="40"/>
            </w:pPr>
            <w:r>
              <w:rPr>
                <w:sz w:val="17"/>
              </w:rPr>
              <w:t>M8 — Unknown-unknowns are first-class</w:t>
            </w:r>
          </w:p>
        </w:tc>
        <w:tc>
          <w:tcPr>
            <w:tcW w:type="dxa" w:w="6696"/>
            <w:vAlign w:val="center"/>
            <w:tcMar>
              <w:top w:w="80" w:type="dxa"/>
              <w:start w:w="90" w:type="dxa"/>
              <w:bottom w:w="80" w:type="dxa"/>
              <w:end w:w="90" w:type="dxa"/>
            </w:tcMar>
          </w:tcPr>
          <w:p>
            <w:pPr>
              <w:spacing w:after="40"/>
            </w:pPr>
            <w:r>
              <w:rPr>
                <w:sz w:val="17"/>
              </w:rPr>
              <w:t>A persistent unresolved residual may trigger model-space expansion rather than forced classification.</w:t>
            </w:r>
          </w:p>
        </w:tc>
      </w:tr>
      <w:tr>
        <w:tc>
          <w:tcPr>
            <w:tcW w:type="dxa" w:w="3096"/>
            <w:vAlign w:val="center"/>
            <w:tcMar>
              <w:top w:w="80" w:type="dxa"/>
              <w:start w:w="90" w:type="dxa"/>
              <w:bottom w:w="80" w:type="dxa"/>
              <w:end w:w="90" w:type="dxa"/>
            </w:tcMar>
          </w:tcPr>
          <w:p>
            <w:pPr>
              <w:spacing w:after="40"/>
            </w:pPr>
            <w:r>
              <w:rPr>
                <w:sz w:val="17"/>
              </w:rPr>
              <w:t>M9 — Resource constraints are scientific constraints</w:t>
            </w:r>
          </w:p>
        </w:tc>
        <w:tc>
          <w:tcPr>
            <w:tcW w:type="dxa" w:w="6696"/>
            <w:vAlign w:val="center"/>
            <w:tcMar>
              <w:top w:w="80" w:type="dxa"/>
              <w:start w:w="90" w:type="dxa"/>
              <w:bottom w:w="80" w:type="dxa"/>
              <w:end w:w="90" w:type="dxa"/>
            </w:tcMar>
          </w:tcPr>
          <w:p>
            <w:pPr>
              <w:spacing w:after="40"/>
            </w:pPr>
            <w:r>
              <w:rPr>
                <w:sz w:val="17"/>
              </w:rPr>
              <w:t>Discovery scheduling must account for energy, compute, thermal capacity, materials, time and money.</w:t>
            </w:r>
          </w:p>
        </w:tc>
      </w:tr>
      <w:tr>
        <w:tc>
          <w:tcPr>
            <w:tcW w:type="dxa" w:w="3096"/>
            <w:vAlign w:val="center"/>
            <w:tcMar>
              <w:top w:w="80" w:type="dxa"/>
              <w:start w:w="90" w:type="dxa"/>
              <w:bottom w:w="80" w:type="dxa"/>
              <w:end w:w="90" w:type="dxa"/>
            </w:tcMar>
          </w:tcPr>
          <w:p>
            <w:pPr>
              <w:spacing w:after="40"/>
            </w:pPr>
            <w:r>
              <w:rPr>
                <w:sz w:val="17"/>
              </w:rPr>
              <w:t>M10 — Every discovery leaves a reusable trail</w:t>
            </w:r>
          </w:p>
        </w:tc>
        <w:tc>
          <w:tcPr>
            <w:tcW w:type="dxa" w:w="6696"/>
            <w:vAlign w:val="center"/>
            <w:tcMar>
              <w:top w:w="80" w:type="dxa"/>
              <w:start w:w="90" w:type="dxa"/>
              <w:bottom w:w="80" w:type="dxa"/>
              <w:end w:w="90" w:type="dxa"/>
            </w:tcMar>
          </w:tcPr>
          <w:p>
            <w:pPr>
              <w:spacing w:after="40"/>
            </w:pPr>
            <w:r>
              <w:rPr>
                <w:sz w:val="17"/>
              </w:rPr>
              <w:t>Search coverage, failed paths, priors, tools and evidence remain queryable after conclusion.</w:t>
            </w:r>
          </w:p>
        </w:tc>
      </w:tr>
    </w:tbl>
    <w:p>
      <w:pPr>
        <w:pStyle w:val="Heading1"/>
      </w:pPr>
      <w:r>
        <w:t>3. Measurement Science &amp; Metrology Architecture</w:t>
      </w:r>
    </w:p>
    <w:p>
      <w:r>
        <w:t>APEDP shall distinguish the physical quantity of interest from the instrument output and the derived estimate. Every critical measurement shall have a machine-readable measurand definition and calibration chain.</w:t>
      </w:r>
    </w:p>
    <w:p>
      <w:pPr>
        <w:spacing w:before="80" w:after="80"/>
        <w:jc w:val="center"/>
      </w:pPr>
      <w:r>
        <w:rPr>
          <w:b/>
          <w:sz w:val="22"/>
        </w:rPr>
        <w:t>measurand → reference standard → instrument → calibration → observation → estimator → uncertainty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blHeader w:val="true"/>
          <w:tblHeader w:val="true"/>
        </w:trPr>
        <w:tc>
          <w:tcPr>
            <w:tcW w:type="dxa" w:w="1440"/>
            <w:vAlign w:val="center"/>
            <w:tcMar>
              <w:top w:w="80" w:type="dxa"/>
              <w:start w:w="90" w:type="dxa"/>
              <w:bottom w:w="80" w:type="dxa"/>
              <w:end w:w="90" w:type="dxa"/>
            </w:tcMar>
            <w:shd w:fill="1F4E78"/>
          </w:tcPr>
          <w:p>
            <w:pPr>
              <w:spacing w:after="40"/>
            </w:pPr>
            <w:r>
              <w:rPr>
                <w:b/>
                <w:sz w:val="17"/>
              </w:rPr>
              <w:t>Requirement ID</w:t>
            </w:r>
          </w:p>
        </w:tc>
        <w:tc>
          <w:tcPr>
            <w:tcW w:type="dxa" w:w="5184"/>
            <w:vAlign w:val="center"/>
            <w:tcMar>
              <w:top w:w="80" w:type="dxa"/>
              <w:start w:w="90" w:type="dxa"/>
              <w:bottom w:w="80" w:type="dxa"/>
              <w:end w:w="90" w:type="dxa"/>
            </w:tcMar>
            <w:shd w:fill="1F4E78"/>
          </w:tcPr>
          <w:p>
            <w:pPr>
              <w:spacing w:after="40"/>
            </w:pPr>
            <w:r>
              <w:rPr>
                <w:b/>
                <w:sz w:val="17"/>
              </w:rPr>
              <w:t>Requirement</w:t>
            </w:r>
          </w:p>
        </w:tc>
        <w:tc>
          <w:tcPr>
            <w:tcW w:type="dxa" w:w="1152"/>
            <w:vAlign w:val="center"/>
            <w:tcMar>
              <w:top w:w="80" w:type="dxa"/>
              <w:start w:w="90" w:type="dxa"/>
              <w:bottom w:w="80" w:type="dxa"/>
              <w:end w:w="90" w:type="dxa"/>
            </w:tcMar>
            <w:shd w:fill="1F4E78"/>
          </w:tcPr>
          <w:p>
            <w:pPr>
              <w:spacing w:after="40"/>
            </w:pPr>
            <w:r>
              <w:rPr>
                <w:b/>
                <w:sz w:val="17"/>
              </w:rPr>
              <w:t>Priority</w:t>
            </w:r>
          </w:p>
        </w:tc>
        <w:tc>
          <w:tcPr>
            <w:tcW w:type="dxa" w:w="2016"/>
            <w:vAlign w:val="center"/>
            <w:tcMar>
              <w:top w:w="80" w:type="dxa"/>
              <w:start w:w="90" w:type="dxa"/>
              <w:bottom w:w="80" w:type="dxa"/>
              <w:end w:w="90" w:type="dxa"/>
            </w:tcMar>
            <w:shd w:fill="1F4E78"/>
          </w:tcPr>
          <w:p>
            <w:pPr>
              <w:spacing w:after="40"/>
            </w:pPr>
            <w:r>
              <w:rPr>
                <w:b/>
                <w:sz w:val="17"/>
              </w:rPr>
              <w:t>Acceptance evidence</w:t>
            </w:r>
          </w:p>
        </w:tc>
      </w:tr>
      <w:tr>
        <w:tc>
          <w:tcPr>
            <w:tcW w:type="dxa" w:w="1440"/>
            <w:vAlign w:val="center"/>
            <w:tcMar>
              <w:top w:w="80" w:type="dxa"/>
              <w:start w:w="90" w:type="dxa"/>
              <w:bottom w:w="80" w:type="dxa"/>
              <w:end w:w="90" w:type="dxa"/>
            </w:tcMar>
          </w:tcPr>
          <w:p>
            <w:pPr>
              <w:spacing w:after="40"/>
            </w:pPr>
            <w:r>
              <w:rPr>
                <w:sz w:val="17"/>
              </w:rPr>
              <w:t>MET-001</w:t>
            </w:r>
          </w:p>
        </w:tc>
        <w:tc>
          <w:tcPr>
            <w:tcW w:type="dxa" w:w="5184"/>
            <w:vAlign w:val="center"/>
            <w:tcMar>
              <w:top w:w="80" w:type="dxa"/>
              <w:start w:w="90" w:type="dxa"/>
              <w:bottom w:w="80" w:type="dxa"/>
              <w:end w:w="90" w:type="dxa"/>
            </w:tcMar>
          </w:tcPr>
          <w:p>
            <w:pPr>
              <w:spacing w:after="40"/>
            </w:pPr>
            <w:r>
              <w:rPr>
                <w:sz w:val="17"/>
              </w:rPr>
              <w:t>Define each critical measurand, unit, reference frame and operational measurement procedure.</w:t>
            </w:r>
          </w:p>
        </w:tc>
        <w:tc>
          <w:tcPr>
            <w:tcW w:type="dxa" w:w="1152"/>
            <w:vAlign w:val="center"/>
            <w:tcMar>
              <w:top w:w="80" w:type="dxa"/>
              <w:start w:w="90" w:type="dxa"/>
              <w:bottom w:w="80" w:type="dxa"/>
              <w:end w:w="90" w:type="dxa"/>
            </w:tcMar>
          </w:tcPr>
          <w:p>
            <w:pPr>
              <w:spacing w:after="40"/>
            </w:pPr>
            <w:r>
              <w:rPr>
                <w:sz w:val="17"/>
              </w:rPr>
              <w:t>MUST</w:t>
            </w:r>
          </w:p>
        </w:tc>
        <w:tc>
          <w:tcPr>
            <w:tcW w:type="dxa" w:w="2016"/>
            <w:vAlign w:val="center"/>
            <w:tcMar>
              <w:top w:w="80" w:type="dxa"/>
              <w:start w:w="90" w:type="dxa"/>
              <w:bottom w:w="80" w:type="dxa"/>
              <w:end w:w="90" w:type="dxa"/>
            </w:tcMar>
          </w:tcPr>
          <w:p>
            <w:pPr>
              <w:spacing w:after="40"/>
            </w:pPr>
            <w:r>
              <w:rPr>
                <w:sz w:val="17"/>
              </w:rPr>
              <w:t>Measurand record complete.</w:t>
            </w:r>
          </w:p>
        </w:tc>
      </w:tr>
      <w:tr>
        <w:tc>
          <w:tcPr>
            <w:tcW w:type="dxa" w:w="1440"/>
            <w:vAlign w:val="center"/>
            <w:tcMar>
              <w:top w:w="80" w:type="dxa"/>
              <w:start w:w="90" w:type="dxa"/>
              <w:bottom w:w="80" w:type="dxa"/>
              <w:end w:w="90" w:type="dxa"/>
            </w:tcMar>
          </w:tcPr>
          <w:p>
            <w:pPr>
              <w:spacing w:after="40"/>
            </w:pPr>
            <w:r>
              <w:rPr>
                <w:sz w:val="17"/>
              </w:rPr>
              <w:t>MET-002</w:t>
            </w:r>
          </w:p>
        </w:tc>
        <w:tc>
          <w:tcPr>
            <w:tcW w:type="dxa" w:w="5184"/>
            <w:vAlign w:val="center"/>
            <w:tcMar>
              <w:top w:w="80" w:type="dxa"/>
              <w:start w:w="90" w:type="dxa"/>
              <w:bottom w:w="80" w:type="dxa"/>
              <w:end w:w="90" w:type="dxa"/>
            </w:tcMar>
          </w:tcPr>
          <w:p>
            <w:pPr>
              <w:spacing w:after="40"/>
            </w:pPr>
            <w:r>
              <w:rPr>
                <w:sz w:val="17"/>
              </w:rPr>
              <w:t>Maintain traceability from measurement result to reference standards or documented calibration references.</w:t>
            </w:r>
          </w:p>
        </w:tc>
        <w:tc>
          <w:tcPr>
            <w:tcW w:type="dxa" w:w="1152"/>
            <w:vAlign w:val="center"/>
            <w:tcMar>
              <w:top w:w="80" w:type="dxa"/>
              <w:start w:w="90" w:type="dxa"/>
              <w:bottom w:w="80" w:type="dxa"/>
              <w:end w:w="90" w:type="dxa"/>
            </w:tcMar>
          </w:tcPr>
          <w:p>
            <w:pPr>
              <w:spacing w:after="40"/>
            </w:pPr>
            <w:r>
              <w:rPr>
                <w:sz w:val="17"/>
              </w:rPr>
              <w:t>MUST</w:t>
            </w:r>
          </w:p>
        </w:tc>
        <w:tc>
          <w:tcPr>
            <w:tcW w:type="dxa" w:w="2016"/>
            <w:vAlign w:val="center"/>
            <w:tcMar>
              <w:top w:w="80" w:type="dxa"/>
              <w:start w:w="90" w:type="dxa"/>
              <w:bottom w:w="80" w:type="dxa"/>
              <w:end w:w="90" w:type="dxa"/>
            </w:tcMar>
          </w:tcPr>
          <w:p>
            <w:pPr>
              <w:spacing w:after="40"/>
            </w:pPr>
            <w:r>
              <w:rPr>
                <w:sz w:val="17"/>
              </w:rPr>
              <w:t>Traceability chain replayable.</w:t>
            </w:r>
          </w:p>
        </w:tc>
      </w:tr>
      <w:tr>
        <w:tc>
          <w:tcPr>
            <w:tcW w:type="dxa" w:w="1440"/>
            <w:vAlign w:val="center"/>
            <w:tcMar>
              <w:top w:w="80" w:type="dxa"/>
              <w:start w:w="90" w:type="dxa"/>
              <w:bottom w:w="80" w:type="dxa"/>
              <w:end w:w="90" w:type="dxa"/>
            </w:tcMar>
          </w:tcPr>
          <w:p>
            <w:pPr>
              <w:spacing w:after="40"/>
            </w:pPr>
            <w:r>
              <w:rPr>
                <w:sz w:val="17"/>
              </w:rPr>
              <w:t>MET-003</w:t>
            </w:r>
          </w:p>
        </w:tc>
        <w:tc>
          <w:tcPr>
            <w:tcW w:type="dxa" w:w="5184"/>
            <w:vAlign w:val="center"/>
            <w:tcMar>
              <w:top w:w="80" w:type="dxa"/>
              <w:start w:w="90" w:type="dxa"/>
              <w:bottom w:w="80" w:type="dxa"/>
              <w:end w:w="90" w:type="dxa"/>
            </w:tcMar>
          </w:tcPr>
          <w:p>
            <w:pPr>
              <w:spacing w:after="40"/>
            </w:pPr>
            <w:r>
              <w:rPr>
                <w:sz w:val="17"/>
              </w:rPr>
              <w:t>Record resolution, dynamic range, detection limit, sensitivity, specificity, drift and environmental dependence where applicable.</w:t>
            </w:r>
          </w:p>
        </w:tc>
        <w:tc>
          <w:tcPr>
            <w:tcW w:type="dxa" w:w="1152"/>
            <w:vAlign w:val="center"/>
            <w:tcMar>
              <w:top w:w="80" w:type="dxa"/>
              <w:start w:w="90" w:type="dxa"/>
              <w:bottom w:w="80" w:type="dxa"/>
              <w:end w:w="90" w:type="dxa"/>
            </w:tcMar>
          </w:tcPr>
          <w:p>
            <w:pPr>
              <w:spacing w:after="40"/>
            </w:pPr>
            <w:r>
              <w:rPr>
                <w:sz w:val="17"/>
              </w:rPr>
              <w:t>MUST</w:t>
            </w:r>
          </w:p>
        </w:tc>
        <w:tc>
          <w:tcPr>
            <w:tcW w:type="dxa" w:w="2016"/>
            <w:vAlign w:val="center"/>
            <w:tcMar>
              <w:top w:w="80" w:type="dxa"/>
              <w:start w:w="90" w:type="dxa"/>
              <w:bottom w:w="80" w:type="dxa"/>
              <w:end w:w="90" w:type="dxa"/>
            </w:tcMar>
          </w:tcPr>
          <w:p>
            <w:pPr>
              <w:spacing w:after="40"/>
            </w:pPr>
            <w:r>
              <w:rPr>
                <w:sz w:val="17"/>
              </w:rPr>
              <w:t>Instrument capability profile.</w:t>
            </w:r>
          </w:p>
        </w:tc>
      </w:tr>
      <w:tr>
        <w:tc>
          <w:tcPr>
            <w:tcW w:type="dxa" w:w="1440"/>
            <w:vAlign w:val="center"/>
            <w:tcMar>
              <w:top w:w="80" w:type="dxa"/>
              <w:start w:w="90" w:type="dxa"/>
              <w:bottom w:w="80" w:type="dxa"/>
              <w:end w:w="90" w:type="dxa"/>
            </w:tcMar>
          </w:tcPr>
          <w:p>
            <w:pPr>
              <w:spacing w:after="40"/>
            </w:pPr>
            <w:r>
              <w:rPr>
                <w:sz w:val="17"/>
              </w:rPr>
              <w:t>MET-004</w:t>
            </w:r>
          </w:p>
        </w:tc>
        <w:tc>
          <w:tcPr>
            <w:tcW w:type="dxa" w:w="5184"/>
            <w:vAlign w:val="center"/>
            <w:tcMar>
              <w:top w:w="80" w:type="dxa"/>
              <w:start w:w="90" w:type="dxa"/>
              <w:bottom w:w="80" w:type="dxa"/>
              <w:end w:w="90" w:type="dxa"/>
            </w:tcMar>
          </w:tcPr>
          <w:p>
            <w:pPr>
              <w:spacing w:after="40"/>
            </w:pPr>
            <w:r>
              <w:rPr>
                <w:sz w:val="17"/>
              </w:rPr>
              <w:t>Separate directly measured quantities from inferred/derived quantities in all evidence displays.</w:t>
            </w:r>
          </w:p>
        </w:tc>
        <w:tc>
          <w:tcPr>
            <w:tcW w:type="dxa" w:w="1152"/>
            <w:vAlign w:val="center"/>
            <w:tcMar>
              <w:top w:w="80" w:type="dxa"/>
              <w:start w:w="90" w:type="dxa"/>
              <w:bottom w:w="80" w:type="dxa"/>
              <w:end w:w="90" w:type="dxa"/>
            </w:tcMar>
          </w:tcPr>
          <w:p>
            <w:pPr>
              <w:spacing w:after="40"/>
            </w:pPr>
            <w:r>
              <w:rPr>
                <w:sz w:val="17"/>
              </w:rPr>
              <w:t>MUST</w:t>
            </w:r>
          </w:p>
        </w:tc>
        <w:tc>
          <w:tcPr>
            <w:tcW w:type="dxa" w:w="2016"/>
            <w:vAlign w:val="center"/>
            <w:tcMar>
              <w:top w:w="80" w:type="dxa"/>
              <w:start w:w="90" w:type="dxa"/>
              <w:bottom w:w="80" w:type="dxa"/>
              <w:end w:w="90" w:type="dxa"/>
            </w:tcMar>
          </w:tcPr>
          <w:p>
            <w:pPr>
              <w:spacing w:after="40"/>
            </w:pPr>
            <w:r>
              <w:rPr>
                <w:sz w:val="17"/>
              </w:rPr>
              <w:t>UI/data model enforces type distinction.</w:t>
            </w:r>
          </w:p>
        </w:tc>
      </w:tr>
      <w:tr>
        <w:tc>
          <w:tcPr>
            <w:tcW w:type="dxa" w:w="1440"/>
            <w:vAlign w:val="center"/>
            <w:tcMar>
              <w:top w:w="80" w:type="dxa"/>
              <w:start w:w="90" w:type="dxa"/>
              <w:bottom w:w="80" w:type="dxa"/>
              <w:end w:w="90" w:type="dxa"/>
            </w:tcMar>
          </w:tcPr>
          <w:p>
            <w:pPr>
              <w:spacing w:after="40"/>
            </w:pPr>
            <w:r>
              <w:rPr>
                <w:sz w:val="17"/>
              </w:rPr>
              <w:t>MET-005</w:t>
            </w:r>
          </w:p>
        </w:tc>
        <w:tc>
          <w:tcPr>
            <w:tcW w:type="dxa" w:w="5184"/>
            <w:vAlign w:val="center"/>
            <w:tcMar>
              <w:top w:w="80" w:type="dxa"/>
              <w:start w:w="90" w:type="dxa"/>
              <w:bottom w:w="80" w:type="dxa"/>
              <w:end w:w="90" w:type="dxa"/>
            </w:tcMar>
          </w:tcPr>
          <w:p>
            <w:pPr>
              <w:spacing w:after="40"/>
            </w:pPr>
            <w:r>
              <w:rPr>
                <w:sz w:val="17"/>
              </w:rPr>
              <w:t>Maintain time-dependent calibration state and detect calibration drift.</w:t>
            </w:r>
          </w:p>
        </w:tc>
        <w:tc>
          <w:tcPr>
            <w:tcW w:type="dxa" w:w="1152"/>
            <w:vAlign w:val="center"/>
            <w:tcMar>
              <w:top w:w="80" w:type="dxa"/>
              <w:start w:w="90" w:type="dxa"/>
              <w:bottom w:w="80" w:type="dxa"/>
              <w:end w:w="90" w:type="dxa"/>
            </w:tcMar>
          </w:tcPr>
          <w:p>
            <w:pPr>
              <w:spacing w:after="40"/>
            </w:pPr>
            <w:r>
              <w:rPr>
                <w:sz w:val="17"/>
              </w:rPr>
              <w:t>MUST</w:t>
            </w:r>
          </w:p>
        </w:tc>
        <w:tc>
          <w:tcPr>
            <w:tcW w:type="dxa" w:w="2016"/>
            <w:vAlign w:val="center"/>
            <w:tcMar>
              <w:top w:w="80" w:type="dxa"/>
              <w:start w:w="90" w:type="dxa"/>
              <w:bottom w:w="80" w:type="dxa"/>
              <w:end w:w="90" w:type="dxa"/>
            </w:tcMar>
          </w:tcPr>
          <w:p>
            <w:pPr>
              <w:spacing w:after="40"/>
            </w:pPr>
            <w:r>
              <w:rPr>
                <w:sz w:val="17"/>
              </w:rPr>
              <w:t>Drift detection benchmark passes.</w:t>
            </w:r>
          </w:p>
        </w:tc>
      </w:tr>
      <w:tr>
        <w:tc>
          <w:tcPr>
            <w:tcW w:type="dxa" w:w="1440"/>
            <w:vAlign w:val="center"/>
            <w:tcMar>
              <w:top w:w="80" w:type="dxa"/>
              <w:start w:w="90" w:type="dxa"/>
              <w:bottom w:w="80" w:type="dxa"/>
              <w:end w:w="90" w:type="dxa"/>
            </w:tcMar>
          </w:tcPr>
          <w:p>
            <w:pPr>
              <w:spacing w:after="40"/>
            </w:pPr>
            <w:r>
              <w:rPr>
                <w:sz w:val="17"/>
              </w:rPr>
              <w:t>MET-006</w:t>
            </w:r>
          </w:p>
        </w:tc>
        <w:tc>
          <w:tcPr>
            <w:tcW w:type="dxa" w:w="5184"/>
            <w:vAlign w:val="center"/>
            <w:tcMar>
              <w:top w:w="80" w:type="dxa"/>
              <w:start w:w="90" w:type="dxa"/>
              <w:bottom w:w="80" w:type="dxa"/>
              <w:end w:w="90" w:type="dxa"/>
            </w:tcMar>
          </w:tcPr>
          <w:p>
            <w:pPr>
              <w:spacing w:after="40"/>
            </w:pPr>
            <w:r>
              <w:rPr>
                <w:sz w:val="17"/>
              </w:rPr>
              <w:t>Support measurement-device-independent confirmation where the claim warrants high evidentiary status.</w:t>
            </w:r>
          </w:p>
        </w:tc>
        <w:tc>
          <w:tcPr>
            <w:tcW w:type="dxa" w:w="1152"/>
            <w:vAlign w:val="center"/>
            <w:tcMar>
              <w:top w:w="80" w:type="dxa"/>
              <w:start w:w="90" w:type="dxa"/>
              <w:bottom w:w="80" w:type="dxa"/>
              <w:end w:w="90" w:type="dxa"/>
            </w:tcMar>
          </w:tcPr>
          <w:p>
            <w:pPr>
              <w:spacing w:after="40"/>
            </w:pPr>
            <w:r>
              <w:rPr>
                <w:sz w:val="17"/>
              </w:rPr>
              <w:t>SHOULD</w:t>
            </w:r>
          </w:p>
        </w:tc>
        <w:tc>
          <w:tcPr>
            <w:tcW w:type="dxa" w:w="2016"/>
            <w:vAlign w:val="center"/>
            <w:tcMar>
              <w:top w:w="80" w:type="dxa"/>
              <w:start w:w="90" w:type="dxa"/>
              <w:bottom w:w="80" w:type="dxa"/>
              <w:end w:w="90" w:type="dxa"/>
            </w:tcMar>
          </w:tcPr>
          <w:p>
            <w:pPr>
              <w:spacing w:after="40"/>
            </w:pPr>
            <w:r>
              <w:rPr>
                <w:sz w:val="17"/>
              </w:rPr>
              <w:t>Independent physical measurement path demonstrated.</w:t>
            </w:r>
          </w:p>
        </w:tc>
      </w:tr>
    </w:tbl>
    <w:p>
      <w:pPr>
        <w:pStyle w:val="Heading2"/>
      </w:pPr>
      <w:r>
        <w:t>Measurement model</w:t>
      </w:r>
    </w:p>
    <w:p>
      <w:pPr>
        <w:spacing w:before="80" w:after="80"/>
        <w:jc w:val="center"/>
      </w:pPr>
      <w:r>
        <w:rPr>
          <w:b/>
          <w:sz w:val="22"/>
        </w:rPr>
        <w:t>y = f(x, θ) + δ_model(x) + ε_measurement + ε_environment</w:t>
      </w:r>
    </w:p>
    <w:p>
      <w:pPr>
        <w:pStyle w:val="ListBullet"/>
        <w:spacing w:after="40"/>
      </w:pPr>
      <w:r>
        <w:t>x: latent physical quantity or state relevant to the measurand.</w:t>
      </w:r>
    </w:p>
    <w:p>
      <w:pPr>
        <w:pStyle w:val="ListBullet"/>
        <w:spacing w:after="40"/>
      </w:pPr>
      <w:r>
        <w:t>θ: instrument and calibration parameters.</w:t>
      </w:r>
    </w:p>
    <w:p>
      <w:pPr>
        <w:pStyle w:val="ListBullet"/>
        <w:spacing w:after="40"/>
      </w:pPr>
      <w:r>
        <w:t>δ_model(x): model discrepancy or approximation error.</w:t>
      </w:r>
    </w:p>
    <w:p>
      <w:pPr>
        <w:pStyle w:val="ListBullet"/>
        <w:spacing w:after="40"/>
      </w:pPr>
      <w:r>
        <w:t>ε_measurement: stochastic measurement error.</w:t>
      </w:r>
    </w:p>
    <w:p>
      <w:pPr>
        <w:pStyle w:val="ListBullet"/>
        <w:spacing w:after="40"/>
      </w:pPr>
      <w:r>
        <w:t>ε_environment: environmental disturbance contribution.</w:t>
      </w:r>
    </w:p>
    <w:p>
      <w:pPr>
        <w:pStyle w:val="Heading1"/>
      </w:pPr>
      <w:r>
        <w:t>4. Observability &amp; Identifiability Engine</w:t>
      </w:r>
    </w:p>
    <w:p>
      <w:pPr>
        <w:pStyle w:val="ListBullet"/>
        <w:spacing w:after="40"/>
      </w:pPr>
      <w:r>
        <w:t>Determine whether proposed state variables are observable from available sensors and measurements.</w:t>
      </w:r>
    </w:p>
    <w:p>
      <w:pPr>
        <w:pStyle w:val="ListBullet"/>
        <w:spacing w:after="40"/>
      </w:pPr>
      <w:r>
        <w:t>Determine whether candidate parameters are locally or globally identifiable under the selected model and data design.</w:t>
      </w:r>
    </w:p>
    <w:p>
      <w:pPr>
        <w:pStyle w:val="ListBullet"/>
        <w:spacing w:after="40"/>
      </w:pPr>
      <w:r>
        <w:t>Report parameter degeneracy and hypothesis degeneracy explicitly.</w:t>
      </w:r>
    </w:p>
    <w:p>
      <w:pPr>
        <w:pStyle w:val="ListBullet"/>
        <w:spacing w:after="40"/>
      </w:pPr>
      <w:r>
        <w:t>Recommend additional measurements that best break degeneracies.</w:t>
      </w:r>
    </w:p>
    <w:p>
      <w:pPr>
        <w:spacing w:before="80" w:after="80"/>
        <w:jc w:val="center"/>
      </w:pPr>
      <w:r>
        <w:rPr>
          <w:b/>
          <w:sz w:val="22"/>
        </w:rPr>
        <w:t>θ₁ ≠ θ₂ but P(D | θ₁,H) ≈ P(D | θ₂,H)  →  parameter non-identifiability</w:t>
      </w:r>
    </w:p>
    <w:p>
      <w:pPr>
        <w:spacing w:before="80" w:after="80"/>
        <w:jc w:val="center"/>
      </w:pPr>
      <w:r>
        <w:rPr>
          <w:b/>
          <w:sz w:val="22"/>
        </w:rPr>
        <w:t>H₁ ≠ H₂ but P(D | H₁) ≈ P(D | H₂)  →  hypothesis non-identifiability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blHeader w:val="true"/>
          <w:tblHeader w:val="true"/>
        </w:trPr>
        <w:tc>
          <w:tcPr>
            <w:tcW w:type="dxa" w:w="1440"/>
            <w:vAlign w:val="center"/>
            <w:tcMar>
              <w:top w:w="80" w:type="dxa"/>
              <w:start w:w="90" w:type="dxa"/>
              <w:bottom w:w="80" w:type="dxa"/>
              <w:end w:w="90" w:type="dxa"/>
            </w:tcMar>
            <w:shd w:fill="1F4E78"/>
          </w:tcPr>
          <w:p>
            <w:pPr>
              <w:spacing w:after="40"/>
            </w:pPr>
            <w:r>
              <w:rPr>
                <w:b/>
                <w:sz w:val="17"/>
              </w:rPr>
              <w:t>Requirement ID</w:t>
            </w:r>
          </w:p>
        </w:tc>
        <w:tc>
          <w:tcPr>
            <w:tcW w:type="dxa" w:w="5184"/>
            <w:vAlign w:val="center"/>
            <w:tcMar>
              <w:top w:w="80" w:type="dxa"/>
              <w:start w:w="90" w:type="dxa"/>
              <w:bottom w:w="80" w:type="dxa"/>
              <w:end w:w="90" w:type="dxa"/>
            </w:tcMar>
            <w:shd w:fill="1F4E78"/>
          </w:tcPr>
          <w:p>
            <w:pPr>
              <w:spacing w:after="40"/>
            </w:pPr>
            <w:r>
              <w:rPr>
                <w:b/>
                <w:sz w:val="17"/>
              </w:rPr>
              <w:t>Requirement</w:t>
            </w:r>
          </w:p>
        </w:tc>
        <w:tc>
          <w:tcPr>
            <w:tcW w:type="dxa" w:w="1152"/>
            <w:vAlign w:val="center"/>
            <w:tcMar>
              <w:top w:w="80" w:type="dxa"/>
              <w:start w:w="90" w:type="dxa"/>
              <w:bottom w:w="80" w:type="dxa"/>
              <w:end w:w="90" w:type="dxa"/>
            </w:tcMar>
            <w:shd w:fill="1F4E78"/>
          </w:tcPr>
          <w:p>
            <w:pPr>
              <w:spacing w:after="40"/>
            </w:pPr>
            <w:r>
              <w:rPr>
                <w:b/>
                <w:sz w:val="17"/>
              </w:rPr>
              <w:t>Priority</w:t>
            </w:r>
          </w:p>
        </w:tc>
        <w:tc>
          <w:tcPr>
            <w:tcW w:type="dxa" w:w="2016"/>
            <w:vAlign w:val="center"/>
            <w:tcMar>
              <w:top w:w="80" w:type="dxa"/>
              <w:start w:w="90" w:type="dxa"/>
              <w:bottom w:w="80" w:type="dxa"/>
              <w:end w:w="90" w:type="dxa"/>
            </w:tcMar>
            <w:shd w:fill="1F4E78"/>
          </w:tcPr>
          <w:p>
            <w:pPr>
              <w:spacing w:after="40"/>
            </w:pPr>
            <w:r>
              <w:rPr>
                <w:b/>
                <w:sz w:val="17"/>
              </w:rPr>
              <w:t>Acceptance evidence</w:t>
            </w:r>
          </w:p>
        </w:tc>
      </w:tr>
      <w:tr>
        <w:tc>
          <w:tcPr>
            <w:tcW w:type="dxa" w:w="1440"/>
            <w:vAlign w:val="center"/>
            <w:tcMar>
              <w:top w:w="80" w:type="dxa"/>
              <w:start w:w="90" w:type="dxa"/>
              <w:bottom w:w="80" w:type="dxa"/>
              <w:end w:w="90" w:type="dxa"/>
            </w:tcMar>
          </w:tcPr>
          <w:p>
            <w:pPr>
              <w:spacing w:after="40"/>
            </w:pPr>
            <w:r>
              <w:rPr>
                <w:sz w:val="17"/>
              </w:rPr>
              <w:t>IDF-001</w:t>
            </w:r>
          </w:p>
        </w:tc>
        <w:tc>
          <w:tcPr>
            <w:tcW w:type="dxa" w:w="5184"/>
            <w:vAlign w:val="center"/>
            <w:tcMar>
              <w:top w:w="80" w:type="dxa"/>
              <w:start w:w="90" w:type="dxa"/>
              <w:bottom w:w="80" w:type="dxa"/>
              <w:end w:w="90" w:type="dxa"/>
            </w:tcMar>
          </w:tcPr>
          <w:p>
            <w:pPr>
              <w:spacing w:after="40"/>
            </w:pPr>
            <w:r>
              <w:rPr>
                <w:sz w:val="17"/>
              </w:rPr>
              <w:t>Run identifiability analysis before interpreting fitted parameters as physical estimates.</w:t>
            </w:r>
          </w:p>
        </w:tc>
        <w:tc>
          <w:tcPr>
            <w:tcW w:type="dxa" w:w="1152"/>
            <w:vAlign w:val="center"/>
            <w:tcMar>
              <w:top w:w="80" w:type="dxa"/>
              <w:start w:w="90" w:type="dxa"/>
              <w:bottom w:w="80" w:type="dxa"/>
              <w:end w:w="90" w:type="dxa"/>
            </w:tcMar>
          </w:tcPr>
          <w:p>
            <w:pPr>
              <w:spacing w:after="40"/>
            </w:pPr>
            <w:r>
              <w:rPr>
                <w:sz w:val="17"/>
              </w:rPr>
              <w:t>MUST</w:t>
            </w:r>
          </w:p>
        </w:tc>
        <w:tc>
          <w:tcPr>
            <w:tcW w:type="dxa" w:w="2016"/>
            <w:vAlign w:val="center"/>
            <w:tcMar>
              <w:top w:w="80" w:type="dxa"/>
              <w:start w:w="90" w:type="dxa"/>
              <w:bottom w:w="80" w:type="dxa"/>
              <w:end w:w="90" w:type="dxa"/>
            </w:tcMar>
          </w:tcPr>
          <w:p>
            <w:pPr>
              <w:spacing w:after="40"/>
            </w:pPr>
            <w:r>
              <w:rPr>
                <w:sz w:val="17"/>
              </w:rPr>
              <w:t>Synthetic parameter-recovery suite.</w:t>
            </w:r>
          </w:p>
        </w:tc>
      </w:tr>
      <w:tr>
        <w:tc>
          <w:tcPr>
            <w:tcW w:type="dxa" w:w="1440"/>
            <w:vAlign w:val="center"/>
            <w:tcMar>
              <w:top w:w="80" w:type="dxa"/>
              <w:start w:w="90" w:type="dxa"/>
              <w:bottom w:w="80" w:type="dxa"/>
              <w:end w:w="90" w:type="dxa"/>
            </w:tcMar>
          </w:tcPr>
          <w:p>
            <w:pPr>
              <w:spacing w:after="40"/>
            </w:pPr>
            <w:r>
              <w:rPr>
                <w:sz w:val="17"/>
              </w:rPr>
              <w:t>IDF-002</w:t>
            </w:r>
          </w:p>
        </w:tc>
        <w:tc>
          <w:tcPr>
            <w:tcW w:type="dxa" w:w="5184"/>
            <w:vAlign w:val="center"/>
            <w:tcMar>
              <w:top w:w="80" w:type="dxa"/>
              <w:start w:w="90" w:type="dxa"/>
              <w:bottom w:w="80" w:type="dxa"/>
              <w:end w:w="90" w:type="dxa"/>
            </w:tcMar>
          </w:tcPr>
          <w:p>
            <w:pPr>
              <w:spacing w:after="40"/>
            </w:pPr>
            <w:r>
              <w:rPr>
                <w:sz w:val="17"/>
              </w:rPr>
              <w:t>Expose degeneracies and equivalent explanations to users and agents.</w:t>
            </w:r>
          </w:p>
        </w:tc>
        <w:tc>
          <w:tcPr>
            <w:tcW w:type="dxa" w:w="1152"/>
            <w:vAlign w:val="center"/>
            <w:tcMar>
              <w:top w:w="80" w:type="dxa"/>
              <w:start w:w="90" w:type="dxa"/>
              <w:bottom w:w="80" w:type="dxa"/>
              <w:end w:w="90" w:type="dxa"/>
            </w:tcMar>
          </w:tcPr>
          <w:p>
            <w:pPr>
              <w:spacing w:after="40"/>
            </w:pPr>
            <w:r>
              <w:rPr>
                <w:sz w:val="17"/>
              </w:rPr>
              <w:t>MUST</w:t>
            </w:r>
          </w:p>
        </w:tc>
        <w:tc>
          <w:tcPr>
            <w:tcW w:type="dxa" w:w="2016"/>
            <w:vAlign w:val="center"/>
            <w:tcMar>
              <w:top w:w="80" w:type="dxa"/>
              <w:start w:w="90" w:type="dxa"/>
              <w:bottom w:w="80" w:type="dxa"/>
              <w:end w:w="90" w:type="dxa"/>
            </w:tcMar>
          </w:tcPr>
          <w:p>
            <w:pPr>
              <w:spacing w:after="40"/>
            </w:pPr>
            <w:r>
              <w:rPr>
                <w:sz w:val="17"/>
              </w:rPr>
              <w:t>Degeneracy report generated.</w:t>
            </w:r>
          </w:p>
        </w:tc>
      </w:tr>
      <w:tr>
        <w:tc>
          <w:tcPr>
            <w:tcW w:type="dxa" w:w="1440"/>
            <w:vAlign w:val="center"/>
            <w:tcMar>
              <w:top w:w="80" w:type="dxa"/>
              <w:start w:w="90" w:type="dxa"/>
              <w:bottom w:w="80" w:type="dxa"/>
              <w:end w:w="90" w:type="dxa"/>
            </w:tcMar>
          </w:tcPr>
          <w:p>
            <w:pPr>
              <w:spacing w:after="40"/>
            </w:pPr>
            <w:r>
              <w:rPr>
                <w:sz w:val="17"/>
              </w:rPr>
              <w:t>IDF-003</w:t>
            </w:r>
          </w:p>
        </w:tc>
        <w:tc>
          <w:tcPr>
            <w:tcW w:type="dxa" w:w="5184"/>
            <w:vAlign w:val="center"/>
            <w:tcMar>
              <w:top w:w="80" w:type="dxa"/>
              <w:start w:w="90" w:type="dxa"/>
              <w:bottom w:w="80" w:type="dxa"/>
              <w:end w:w="90" w:type="dxa"/>
            </w:tcMar>
          </w:tcPr>
          <w:p>
            <w:pPr>
              <w:spacing w:after="40"/>
            </w:pPr>
            <w:r>
              <w:rPr>
                <w:sz w:val="17"/>
              </w:rPr>
              <w:t>Recommend discriminating measurements or interventions.</w:t>
            </w:r>
          </w:p>
        </w:tc>
        <w:tc>
          <w:tcPr>
            <w:tcW w:type="dxa" w:w="1152"/>
            <w:vAlign w:val="center"/>
            <w:tcMar>
              <w:top w:w="80" w:type="dxa"/>
              <w:start w:w="90" w:type="dxa"/>
              <w:bottom w:w="80" w:type="dxa"/>
              <w:end w:w="90" w:type="dxa"/>
            </w:tcMar>
          </w:tcPr>
          <w:p>
            <w:pPr>
              <w:spacing w:after="40"/>
            </w:pPr>
            <w:r>
              <w:rPr>
                <w:sz w:val="17"/>
              </w:rPr>
              <w:t>SHOULD</w:t>
            </w:r>
          </w:p>
        </w:tc>
        <w:tc>
          <w:tcPr>
            <w:tcW w:type="dxa" w:w="2016"/>
            <w:vAlign w:val="center"/>
            <w:tcMar>
              <w:top w:w="80" w:type="dxa"/>
              <w:start w:w="90" w:type="dxa"/>
              <w:bottom w:w="80" w:type="dxa"/>
              <w:end w:w="90" w:type="dxa"/>
            </w:tcMar>
          </w:tcPr>
          <w:p>
            <w:pPr>
              <w:spacing w:after="40"/>
            </w:pPr>
            <w:r>
              <w:rPr>
                <w:sz w:val="17"/>
              </w:rPr>
              <w:t>Planner selects ambiguity-reducing experiment.</w:t>
            </w:r>
          </w:p>
        </w:tc>
      </w:tr>
      <w:tr>
        <w:tc>
          <w:tcPr>
            <w:tcW w:type="dxa" w:w="1440"/>
            <w:vAlign w:val="center"/>
            <w:tcMar>
              <w:top w:w="80" w:type="dxa"/>
              <w:start w:w="90" w:type="dxa"/>
              <w:bottom w:w="80" w:type="dxa"/>
              <w:end w:w="90" w:type="dxa"/>
            </w:tcMar>
          </w:tcPr>
          <w:p>
            <w:pPr>
              <w:spacing w:after="40"/>
            </w:pPr>
            <w:r>
              <w:rPr>
                <w:sz w:val="17"/>
              </w:rPr>
              <w:t>IDF-004</w:t>
            </w:r>
          </w:p>
        </w:tc>
        <w:tc>
          <w:tcPr>
            <w:tcW w:type="dxa" w:w="5184"/>
            <w:vAlign w:val="center"/>
            <w:tcMar>
              <w:top w:w="80" w:type="dxa"/>
              <w:start w:w="90" w:type="dxa"/>
              <w:bottom w:w="80" w:type="dxa"/>
              <w:end w:w="90" w:type="dxa"/>
            </w:tcMar>
          </w:tcPr>
          <w:p>
            <w:pPr>
              <w:spacing w:after="40"/>
            </w:pPr>
            <w:r>
              <w:rPr>
                <w:sz w:val="17"/>
              </w:rPr>
              <w:t>Prevent unsupported parameter certainty caused by over-parameterized models.</w:t>
            </w:r>
          </w:p>
        </w:tc>
        <w:tc>
          <w:tcPr>
            <w:tcW w:type="dxa" w:w="1152"/>
            <w:vAlign w:val="center"/>
            <w:tcMar>
              <w:top w:w="80" w:type="dxa"/>
              <w:start w:w="90" w:type="dxa"/>
              <w:bottom w:w="80" w:type="dxa"/>
              <w:end w:w="90" w:type="dxa"/>
            </w:tcMar>
          </w:tcPr>
          <w:p>
            <w:pPr>
              <w:spacing w:after="40"/>
            </w:pPr>
            <w:r>
              <w:rPr>
                <w:sz w:val="17"/>
              </w:rPr>
              <w:t>MUST</w:t>
            </w:r>
          </w:p>
        </w:tc>
        <w:tc>
          <w:tcPr>
            <w:tcW w:type="dxa" w:w="2016"/>
            <w:vAlign w:val="center"/>
            <w:tcMar>
              <w:top w:w="80" w:type="dxa"/>
              <w:start w:w="90" w:type="dxa"/>
              <w:bottom w:w="80" w:type="dxa"/>
              <w:end w:w="90" w:type="dxa"/>
            </w:tcMar>
          </w:tcPr>
          <w:p>
            <w:pPr>
              <w:spacing w:after="40"/>
            </w:pPr>
            <w:r>
              <w:rPr>
                <w:sz w:val="17"/>
              </w:rPr>
              <w:t>Promotion gate blocks underidentified claims.</w:t>
            </w:r>
          </w:p>
        </w:tc>
      </w:tr>
    </w:tbl>
    <w:p>
      <w:pPr>
        <w:pStyle w:val="Heading1"/>
      </w:pPr>
      <w:r>
        <w:t>5. Discovery Statistics &amp; Multiple-Testing Control</w:t>
      </w:r>
    </w:p>
    <w:p>
      <w:r>
        <w:t>The platform may search very large datasets and many hypotheses. Statistical significance must therefore account for repeated testing, search-space size, sequential evaluation and the look-elsewhere effect.</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448"/>
            <w:vAlign w:val="center"/>
            <w:tcMar>
              <w:top w:w="80" w:type="dxa"/>
              <w:start w:w="90" w:type="dxa"/>
              <w:bottom w:w="80" w:type="dxa"/>
              <w:end w:w="90" w:type="dxa"/>
            </w:tcMar>
            <w:shd w:fill="1F4E78"/>
          </w:tcPr>
          <w:p>
            <w:pPr>
              <w:spacing w:after="40"/>
            </w:pPr>
            <w:r>
              <w:rPr>
                <w:b/>
                <w:sz w:val="17"/>
              </w:rPr>
              <w:t>Control</w:t>
            </w:r>
          </w:p>
        </w:tc>
        <w:tc>
          <w:tcPr>
            <w:tcW w:type="dxa" w:w="7632"/>
            <w:vAlign w:val="center"/>
            <w:tcMar>
              <w:top w:w="80" w:type="dxa"/>
              <w:start w:w="90" w:type="dxa"/>
              <w:bottom w:w="80" w:type="dxa"/>
              <w:end w:w="90" w:type="dxa"/>
            </w:tcMar>
            <w:shd w:fill="1F4E78"/>
          </w:tcPr>
          <w:p>
            <w:pPr>
              <w:spacing w:after="40"/>
            </w:pPr>
            <w:r>
              <w:rPr>
                <w:b/>
                <w:sz w:val="17"/>
              </w:rPr>
              <w:t>Requirement</w:t>
            </w:r>
          </w:p>
        </w:tc>
      </w:tr>
      <w:tr>
        <w:tc>
          <w:tcPr>
            <w:tcW w:type="dxa" w:w="2448"/>
            <w:vAlign w:val="center"/>
            <w:tcMar>
              <w:top w:w="80" w:type="dxa"/>
              <w:start w:w="90" w:type="dxa"/>
              <w:bottom w:w="80" w:type="dxa"/>
              <w:end w:w="90" w:type="dxa"/>
            </w:tcMar>
          </w:tcPr>
          <w:p>
            <w:pPr>
              <w:spacing w:after="40"/>
            </w:pPr>
            <w:r>
              <w:rPr>
                <w:sz w:val="17"/>
              </w:rPr>
              <w:t>Trials accounting</w:t>
            </w:r>
          </w:p>
        </w:tc>
        <w:tc>
          <w:tcPr>
            <w:tcW w:type="dxa" w:w="7632"/>
            <w:vAlign w:val="center"/>
            <w:tcMar>
              <w:top w:w="80" w:type="dxa"/>
              <w:start w:w="90" w:type="dxa"/>
              <w:bottom w:w="80" w:type="dxa"/>
              <w:end w:w="90" w:type="dxa"/>
            </w:tcMar>
          </w:tcPr>
          <w:p>
            <w:pPr>
              <w:spacing w:after="40"/>
            </w:pPr>
            <w:r>
              <w:rPr>
                <w:sz w:val="17"/>
              </w:rPr>
              <w:t>Track effective search count or an appropriate equivalent for each discovery campaign.</w:t>
            </w:r>
          </w:p>
        </w:tc>
      </w:tr>
      <w:tr>
        <w:tc>
          <w:tcPr>
            <w:tcW w:type="dxa" w:w="2448"/>
            <w:vAlign w:val="center"/>
            <w:tcMar>
              <w:top w:w="80" w:type="dxa"/>
              <w:start w:w="90" w:type="dxa"/>
              <w:bottom w:w="80" w:type="dxa"/>
              <w:end w:w="90" w:type="dxa"/>
            </w:tcMar>
          </w:tcPr>
          <w:p>
            <w:pPr>
              <w:spacing w:after="40"/>
            </w:pPr>
            <w:r>
              <w:rPr>
                <w:sz w:val="17"/>
              </w:rPr>
              <w:t>Null calibration</w:t>
            </w:r>
          </w:p>
        </w:tc>
        <w:tc>
          <w:tcPr>
            <w:tcW w:type="dxa" w:w="7632"/>
            <w:vAlign w:val="center"/>
            <w:tcMar>
              <w:top w:w="80" w:type="dxa"/>
              <w:start w:w="90" w:type="dxa"/>
              <w:bottom w:w="80" w:type="dxa"/>
              <w:end w:w="90" w:type="dxa"/>
            </w:tcMar>
          </w:tcPr>
          <w:p>
            <w:pPr>
              <w:spacing w:after="40"/>
            </w:pPr>
            <w:r>
              <w:rPr>
                <w:sz w:val="17"/>
              </w:rPr>
              <w:t>Estimate false-alarm behavior from independent/background data or validated simulation.</w:t>
            </w:r>
          </w:p>
        </w:tc>
      </w:tr>
      <w:tr>
        <w:tc>
          <w:tcPr>
            <w:tcW w:type="dxa" w:w="2448"/>
            <w:vAlign w:val="center"/>
            <w:tcMar>
              <w:top w:w="80" w:type="dxa"/>
              <w:start w:w="90" w:type="dxa"/>
              <w:bottom w:w="80" w:type="dxa"/>
              <w:end w:w="90" w:type="dxa"/>
            </w:tcMar>
          </w:tcPr>
          <w:p>
            <w:pPr>
              <w:spacing w:after="40"/>
            </w:pPr>
            <w:r>
              <w:rPr>
                <w:sz w:val="17"/>
              </w:rPr>
              <w:t>Sequential control</w:t>
            </w:r>
          </w:p>
        </w:tc>
        <w:tc>
          <w:tcPr>
            <w:tcW w:type="dxa" w:w="7632"/>
            <w:vAlign w:val="center"/>
            <w:tcMar>
              <w:top w:w="80" w:type="dxa"/>
              <w:start w:w="90" w:type="dxa"/>
              <w:bottom w:w="80" w:type="dxa"/>
              <w:end w:w="90" w:type="dxa"/>
            </w:tcMar>
          </w:tcPr>
          <w:p>
            <w:pPr>
              <w:spacing w:after="40"/>
            </w:pPr>
            <w:r>
              <w:rPr>
                <w:sz w:val="17"/>
              </w:rPr>
              <w:t>Use methods appropriate to sequential monitoring where thresholds are repeatedly evaluated.</w:t>
            </w:r>
          </w:p>
        </w:tc>
      </w:tr>
      <w:tr>
        <w:tc>
          <w:tcPr>
            <w:tcW w:type="dxa" w:w="2448"/>
            <w:vAlign w:val="center"/>
            <w:tcMar>
              <w:top w:w="80" w:type="dxa"/>
              <w:start w:w="90" w:type="dxa"/>
              <w:bottom w:w="80" w:type="dxa"/>
              <w:end w:w="90" w:type="dxa"/>
            </w:tcMar>
          </w:tcPr>
          <w:p>
            <w:pPr>
              <w:spacing w:after="40"/>
            </w:pPr>
            <w:r>
              <w:rPr>
                <w:sz w:val="17"/>
              </w:rPr>
              <w:t>FDR/FWER</w:t>
            </w:r>
          </w:p>
        </w:tc>
        <w:tc>
          <w:tcPr>
            <w:tcW w:type="dxa" w:w="7632"/>
            <w:vAlign w:val="center"/>
            <w:tcMar>
              <w:top w:w="80" w:type="dxa"/>
              <w:start w:w="90" w:type="dxa"/>
              <w:bottom w:w="80" w:type="dxa"/>
              <w:end w:w="90" w:type="dxa"/>
            </w:tcMar>
          </w:tcPr>
          <w:p>
            <w:pPr>
              <w:spacing w:after="40"/>
            </w:pPr>
            <w:r>
              <w:rPr>
                <w:sz w:val="17"/>
              </w:rPr>
              <w:t>Select false-discovery-rate or family-wise controls according to scientific objective.</w:t>
            </w:r>
          </w:p>
        </w:tc>
      </w:tr>
      <w:tr>
        <w:tc>
          <w:tcPr>
            <w:tcW w:type="dxa" w:w="2448"/>
            <w:vAlign w:val="center"/>
            <w:tcMar>
              <w:top w:w="80" w:type="dxa"/>
              <w:start w:w="90" w:type="dxa"/>
              <w:bottom w:w="80" w:type="dxa"/>
              <w:end w:w="90" w:type="dxa"/>
            </w:tcMar>
          </w:tcPr>
          <w:p>
            <w:pPr>
              <w:spacing w:after="40"/>
            </w:pPr>
            <w:r>
              <w:rPr>
                <w:sz w:val="17"/>
              </w:rPr>
              <w:t>Pre-registration/freeze</w:t>
            </w:r>
          </w:p>
        </w:tc>
        <w:tc>
          <w:tcPr>
            <w:tcW w:type="dxa" w:w="7632"/>
            <w:vAlign w:val="center"/>
            <w:tcMar>
              <w:top w:w="80" w:type="dxa"/>
              <w:start w:w="90" w:type="dxa"/>
              <w:bottom w:w="80" w:type="dxa"/>
              <w:end w:w="90" w:type="dxa"/>
            </w:tcMar>
          </w:tcPr>
          <w:p>
            <w:pPr>
              <w:spacing w:after="40"/>
            </w:pPr>
            <w:r>
              <w:rPr>
                <w:sz w:val="17"/>
              </w:rPr>
              <w:t>Freeze analysis protocols for high-consequence claims before final evaluation.</w:t>
            </w:r>
          </w:p>
        </w:tc>
      </w:tr>
      <w:tr>
        <w:tc>
          <w:tcPr>
            <w:tcW w:type="dxa" w:w="2448"/>
            <w:vAlign w:val="center"/>
            <w:tcMar>
              <w:top w:w="80" w:type="dxa"/>
              <w:start w:w="90" w:type="dxa"/>
              <w:bottom w:w="80" w:type="dxa"/>
              <w:end w:w="90" w:type="dxa"/>
            </w:tcMar>
          </w:tcPr>
          <w:p>
            <w:pPr>
              <w:spacing w:after="40"/>
            </w:pPr>
            <w:r>
              <w:rPr>
                <w:sz w:val="17"/>
              </w:rPr>
              <w:t>Search-space versioning</w:t>
            </w:r>
          </w:p>
        </w:tc>
        <w:tc>
          <w:tcPr>
            <w:tcW w:type="dxa" w:w="7632"/>
            <w:vAlign w:val="center"/>
            <w:tcMar>
              <w:top w:w="80" w:type="dxa"/>
              <w:start w:w="90" w:type="dxa"/>
              <w:bottom w:w="80" w:type="dxa"/>
              <w:end w:w="90" w:type="dxa"/>
            </w:tcMar>
          </w:tcPr>
          <w:p>
            <w:pPr>
              <w:spacing w:after="40"/>
            </w:pPr>
            <w:r>
              <w:rPr>
                <w:sz w:val="17"/>
              </w:rPr>
              <w:t>Version the hypothesis/model/data search space used for each claim.</w:t>
            </w:r>
          </w:p>
        </w:tc>
      </w:tr>
    </w:tbl>
    <w:p>
      <w:pPr>
        <w:pStyle w:val="Callout"/>
      </w:pPr>
      <w:r>
        <w:rPr>
          <w:b/>
        </w:rPr>
        <w:t xml:space="preserve">NON-NEGOTIABLE. </w:t>
      </w:r>
      <w:r>
        <w:t>A low p-value or high anomaly score is not a discovery certificate. The evidentiary meaning depends on how many possibilities were tested, how thresholds were selected, and whether the null model is calibrated.</w:t>
      </w:r>
    </w:p>
    <w:p>
      <w:pPr>
        <w:pStyle w:val="Heading1"/>
      </w:pPr>
      <w:r>
        <w:t>6. Search-Space Coverage &amp; Model Completeness</w:t>
      </w:r>
    </w:p>
    <w:p>
      <w:pPr>
        <w:pStyle w:val="ListBullet"/>
        <w:spacing w:after="40"/>
      </w:pPr>
      <w:r>
        <w:t>Maintain an explicit model-family graph and coverage state: complete, partial, not searched, invalid for regime, or unavailable.</w:t>
      </w:r>
    </w:p>
    <w:p>
      <w:pPr>
        <w:pStyle w:val="ListBullet"/>
        <w:spacing w:after="40"/>
      </w:pPr>
      <w:r>
        <w:t>Track parameter ranges actually explored, not merely the existence of a model implementation.</w:t>
      </w:r>
    </w:p>
    <w:p>
      <w:pPr>
        <w:pStyle w:val="ListBullet"/>
        <w:spacing w:after="40"/>
      </w:pPr>
      <w:r>
        <w:t>Record numerical/solver limitations that create blind regions.</w:t>
      </w:r>
    </w:p>
    <w:p>
      <w:pPr>
        <w:pStyle w:val="ListBullet"/>
        <w:spacing w:after="40"/>
      </w:pPr>
      <w:r>
        <w:t>Distinguish “not explained by searched models” from “not explainable by conventional physics.”</w:t>
      </w:r>
    </w:p>
    <w:p>
      <w:pPr>
        <w:spacing w:before="80" w:after="80"/>
        <w:jc w:val="center"/>
      </w:pPr>
      <w:r>
        <w:rPr>
          <w:b/>
          <w:sz w:val="22"/>
        </w:rPr>
        <w:t>Coverage = searched valid domain / declared target domain</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304"/>
            <w:vAlign w:val="center"/>
            <w:tcMar>
              <w:top w:w="80" w:type="dxa"/>
              <w:start w:w="90" w:type="dxa"/>
              <w:bottom w:w="80" w:type="dxa"/>
              <w:end w:w="90" w:type="dxa"/>
            </w:tcMar>
            <w:shd w:fill="1F4E78"/>
          </w:tcPr>
          <w:p>
            <w:pPr>
              <w:spacing w:after="40"/>
            </w:pPr>
            <w:r>
              <w:rPr>
                <w:b/>
                <w:sz w:val="17"/>
              </w:rPr>
              <w:t>Coverage state</w:t>
            </w:r>
          </w:p>
        </w:tc>
        <w:tc>
          <w:tcPr>
            <w:tcW w:type="dxa" w:w="7776"/>
            <w:vAlign w:val="center"/>
            <w:tcMar>
              <w:top w:w="80" w:type="dxa"/>
              <w:start w:w="90" w:type="dxa"/>
              <w:bottom w:w="80" w:type="dxa"/>
              <w:end w:w="90" w:type="dxa"/>
            </w:tcMar>
            <w:shd w:fill="1F4E78"/>
          </w:tcPr>
          <w:p>
            <w:pPr>
              <w:spacing w:after="40"/>
            </w:pPr>
            <w:r>
              <w:rPr>
                <w:b/>
                <w:sz w:val="17"/>
              </w:rPr>
              <w:t>Meaning</w:t>
            </w:r>
          </w:p>
        </w:tc>
      </w:tr>
      <w:tr>
        <w:tc>
          <w:tcPr>
            <w:tcW w:type="dxa" w:w="2304"/>
            <w:vAlign w:val="center"/>
            <w:tcMar>
              <w:top w:w="80" w:type="dxa"/>
              <w:start w:w="90" w:type="dxa"/>
              <w:bottom w:w="80" w:type="dxa"/>
              <w:end w:w="90" w:type="dxa"/>
            </w:tcMar>
          </w:tcPr>
          <w:p>
            <w:pPr>
              <w:spacing w:after="40"/>
            </w:pPr>
            <w:r>
              <w:rPr>
                <w:sz w:val="17"/>
              </w:rPr>
              <w:t>COMPLETE</w:t>
            </w:r>
          </w:p>
        </w:tc>
        <w:tc>
          <w:tcPr>
            <w:tcW w:type="dxa" w:w="7776"/>
            <w:vAlign w:val="center"/>
            <w:tcMar>
              <w:top w:w="80" w:type="dxa"/>
              <w:start w:w="90" w:type="dxa"/>
              <w:bottom w:w="80" w:type="dxa"/>
              <w:end w:w="90" w:type="dxa"/>
            </w:tcMar>
          </w:tcPr>
          <w:p>
            <w:pPr>
              <w:spacing w:after="40"/>
            </w:pPr>
            <w:r>
              <w:rPr>
                <w:sz w:val="17"/>
              </w:rPr>
              <w:t>Search protocol covers the declared domain with validated solver/model support.</w:t>
            </w:r>
          </w:p>
        </w:tc>
      </w:tr>
      <w:tr>
        <w:tc>
          <w:tcPr>
            <w:tcW w:type="dxa" w:w="2304"/>
            <w:vAlign w:val="center"/>
            <w:tcMar>
              <w:top w:w="80" w:type="dxa"/>
              <w:start w:w="90" w:type="dxa"/>
              <w:bottom w:w="80" w:type="dxa"/>
              <w:end w:w="90" w:type="dxa"/>
            </w:tcMar>
          </w:tcPr>
          <w:p>
            <w:pPr>
              <w:spacing w:after="40"/>
            </w:pPr>
            <w:r>
              <w:rPr>
                <w:sz w:val="17"/>
              </w:rPr>
              <w:t>PARTIAL</w:t>
            </w:r>
          </w:p>
        </w:tc>
        <w:tc>
          <w:tcPr>
            <w:tcW w:type="dxa" w:w="7776"/>
            <w:vAlign w:val="center"/>
            <w:tcMar>
              <w:top w:w="80" w:type="dxa"/>
              <w:start w:w="90" w:type="dxa"/>
              <w:bottom w:w="80" w:type="dxa"/>
              <w:end w:w="90" w:type="dxa"/>
            </w:tcMar>
          </w:tcPr>
          <w:p>
            <w:pPr>
              <w:spacing w:after="40"/>
            </w:pPr>
            <w:r>
              <w:rPr>
                <w:sz w:val="17"/>
              </w:rPr>
              <w:t>Only part of the parameter/model space is searched.</w:t>
            </w:r>
          </w:p>
        </w:tc>
      </w:tr>
      <w:tr>
        <w:tc>
          <w:tcPr>
            <w:tcW w:type="dxa" w:w="2304"/>
            <w:vAlign w:val="center"/>
            <w:tcMar>
              <w:top w:w="80" w:type="dxa"/>
              <w:start w:w="90" w:type="dxa"/>
              <w:bottom w:w="80" w:type="dxa"/>
              <w:end w:w="90" w:type="dxa"/>
            </w:tcMar>
          </w:tcPr>
          <w:p>
            <w:pPr>
              <w:spacing w:after="40"/>
            </w:pPr>
            <w:r>
              <w:rPr>
                <w:sz w:val="17"/>
              </w:rPr>
              <w:t>BLOCKED</w:t>
            </w:r>
          </w:p>
        </w:tc>
        <w:tc>
          <w:tcPr>
            <w:tcW w:type="dxa" w:w="7776"/>
            <w:vAlign w:val="center"/>
            <w:tcMar>
              <w:top w:w="80" w:type="dxa"/>
              <w:start w:w="90" w:type="dxa"/>
              <w:bottom w:w="80" w:type="dxa"/>
              <w:end w:w="90" w:type="dxa"/>
            </w:tcMar>
          </w:tcPr>
          <w:p>
            <w:pPr>
              <w:spacing w:after="40"/>
            </w:pPr>
            <w:r>
              <w:rPr>
                <w:sz w:val="17"/>
              </w:rPr>
              <w:t>The model exists but current data/solver/instrument cannot evaluate it.</w:t>
            </w:r>
          </w:p>
        </w:tc>
      </w:tr>
      <w:tr>
        <w:tc>
          <w:tcPr>
            <w:tcW w:type="dxa" w:w="2304"/>
            <w:vAlign w:val="center"/>
            <w:tcMar>
              <w:top w:w="80" w:type="dxa"/>
              <w:start w:w="90" w:type="dxa"/>
              <w:bottom w:w="80" w:type="dxa"/>
              <w:end w:w="90" w:type="dxa"/>
            </w:tcMar>
          </w:tcPr>
          <w:p>
            <w:pPr>
              <w:spacing w:after="40"/>
            </w:pPr>
            <w:r>
              <w:rPr>
                <w:sz w:val="17"/>
              </w:rPr>
              <w:t>NOT SEARCHED</w:t>
            </w:r>
          </w:p>
        </w:tc>
        <w:tc>
          <w:tcPr>
            <w:tcW w:type="dxa" w:w="7776"/>
            <w:vAlign w:val="center"/>
            <w:tcMar>
              <w:top w:w="80" w:type="dxa"/>
              <w:start w:w="90" w:type="dxa"/>
              <w:bottom w:w="80" w:type="dxa"/>
              <w:end w:w="90" w:type="dxa"/>
            </w:tcMar>
          </w:tcPr>
          <w:p>
            <w:pPr>
              <w:spacing w:after="40"/>
            </w:pPr>
            <w:r>
              <w:rPr>
                <w:sz w:val="17"/>
              </w:rPr>
              <w:t>No evaluation performed.</w:t>
            </w:r>
          </w:p>
        </w:tc>
      </w:tr>
      <w:tr>
        <w:tc>
          <w:tcPr>
            <w:tcW w:type="dxa" w:w="2304"/>
            <w:vAlign w:val="center"/>
            <w:tcMar>
              <w:top w:w="80" w:type="dxa"/>
              <w:start w:w="90" w:type="dxa"/>
              <w:bottom w:w="80" w:type="dxa"/>
              <w:end w:w="90" w:type="dxa"/>
            </w:tcMar>
          </w:tcPr>
          <w:p>
            <w:pPr>
              <w:spacing w:after="40"/>
            </w:pPr>
            <w:r>
              <w:rPr>
                <w:sz w:val="17"/>
              </w:rPr>
              <w:t>INVALID REGIME</w:t>
            </w:r>
          </w:p>
        </w:tc>
        <w:tc>
          <w:tcPr>
            <w:tcW w:type="dxa" w:w="7776"/>
            <w:vAlign w:val="center"/>
            <w:tcMar>
              <w:top w:w="80" w:type="dxa"/>
              <w:start w:w="90" w:type="dxa"/>
              <w:bottom w:w="80" w:type="dxa"/>
              <w:end w:w="90" w:type="dxa"/>
            </w:tcMar>
          </w:tcPr>
          <w:p>
            <w:pPr>
              <w:spacing w:after="40"/>
            </w:pPr>
            <w:r>
              <w:rPr>
                <w:sz w:val="17"/>
              </w:rPr>
              <w:t>Model assumptions do not apply to the observation.</w:t>
            </w:r>
          </w:p>
        </w:tc>
      </w:tr>
      <w:tr>
        <w:tc>
          <w:tcPr>
            <w:tcW w:type="dxa" w:w="2304"/>
            <w:vAlign w:val="center"/>
            <w:tcMar>
              <w:top w:w="80" w:type="dxa"/>
              <w:start w:w="90" w:type="dxa"/>
              <w:bottom w:w="80" w:type="dxa"/>
              <w:end w:w="90" w:type="dxa"/>
            </w:tcMar>
          </w:tcPr>
          <w:p>
            <w:pPr>
              <w:spacing w:after="40"/>
            </w:pPr>
            <w:r>
              <w:rPr>
                <w:sz w:val="17"/>
              </w:rPr>
              <w:t>UNKNOWN</w:t>
            </w:r>
          </w:p>
        </w:tc>
        <w:tc>
          <w:tcPr>
            <w:tcW w:type="dxa" w:w="7776"/>
            <w:vAlign w:val="center"/>
            <w:tcMar>
              <w:top w:w="80" w:type="dxa"/>
              <w:start w:w="90" w:type="dxa"/>
              <w:bottom w:w="80" w:type="dxa"/>
              <w:end w:w="90" w:type="dxa"/>
            </w:tcMar>
          </w:tcPr>
          <w:p>
            <w:pPr>
              <w:spacing w:after="40"/>
            </w:pPr>
            <w:r>
              <w:rPr>
                <w:sz w:val="17"/>
              </w:rPr>
              <w:t>Coverage cannot be reliably characterized.</w:t>
            </w:r>
          </w:p>
        </w:tc>
      </w:tr>
    </w:tbl>
    <w:p>
      <w:pPr>
        <w:pStyle w:val="Heading1"/>
      </w:pPr>
      <w:r>
        <w:t>7. Model Discrepancy &amp; Digital Twin Layer</w:t>
      </w:r>
    </w:p>
    <w:p>
      <w:r>
        <w:t>The platform shall maintain an explicit distinction between measurement noise and the possibility that the governing model is incomplete.</w:t>
      </w:r>
    </w:p>
    <w:p>
      <w:pPr>
        <w:spacing w:before="80" w:after="80"/>
        <w:jc w:val="center"/>
      </w:pPr>
      <w:r>
        <w:rPr>
          <w:b/>
          <w:sz w:val="22"/>
        </w:rPr>
        <w:t>y = f_model(x) + δ_model(x) + ε</w:t>
      </w:r>
    </w:p>
    <w:p>
      <w:pPr>
        <w:pStyle w:val="ListBullet"/>
        <w:spacing w:after="40"/>
      </w:pPr>
      <w:r>
        <w:t>δ_model shall be estimated or bounded where scientifically appropriate.</w:t>
      </w:r>
    </w:p>
    <w:p>
      <w:pPr>
        <w:pStyle w:val="ListBullet"/>
        <w:spacing w:after="40"/>
      </w:pPr>
      <w:r>
        <w:t>Digital twins shall represent the physical system, instrument, environment and control context together.</w:t>
      </w:r>
    </w:p>
    <w:p>
      <w:pPr>
        <w:pStyle w:val="ListBullet"/>
        <w:spacing w:after="40"/>
      </w:pPr>
      <w:r>
        <w:t>Twin-to-real discrepancy shall be monitored over time.</w:t>
      </w:r>
    </w:p>
    <w:p>
      <w:pPr>
        <w:pStyle w:val="ListBullet"/>
        <w:spacing w:after="40"/>
      </w:pPr>
      <w:r>
        <w:t>Model updates shall not overwrite historical twin states used to support prior claims.</w:t>
      </w:r>
    </w:p>
    <w:p>
      <w:pPr>
        <w:pStyle w:val="Heading1"/>
      </w:pPr>
      <w:r>
        <w:t>8. Mathematical Discovery Beyond Formula Fitting</w:t>
      </w:r>
    </w:p>
    <w:p>
      <w:pPr>
        <w:pStyle w:val="Heading2"/>
      </w:pPr>
      <w:r>
        <w:t>8.1 Dimensionless-structure discovery</w:t>
      </w:r>
    </w:p>
    <w:p>
      <w:r>
        <w:t>Use dimensional analysis and candidate dimensionless groups to discover scaling relationships before selecting detailed functional forms.</w:t>
      </w:r>
    </w:p>
    <w:p>
      <w:pPr>
        <w:spacing w:before="80" w:after="80"/>
        <w:jc w:val="center"/>
      </w:pPr>
      <w:r>
        <w:rPr>
          <w:b/>
          <w:sz w:val="22"/>
        </w:rPr>
        <w:t>Π₁, Π₂, …, Π_k = dimensionless combinations of governing variables</w:t>
      </w:r>
    </w:p>
    <w:p>
      <w:pPr>
        <w:pStyle w:val="Heading2"/>
      </w:pPr>
      <w:r>
        <w:t>8.2 Symmetry and invariant discovery</w:t>
      </w:r>
    </w:p>
    <w:p>
      <w:r>
        <w:t>Search for transformations T for which a governing representation or observable is invariant:</w:t>
      </w:r>
    </w:p>
    <w:p>
      <w:pPr>
        <w:spacing w:before="80" w:after="80"/>
        <w:jc w:val="center"/>
      </w:pPr>
      <w:r>
        <w:rPr>
          <w:b/>
          <w:sz w:val="22"/>
        </w:rPr>
        <w:t>L[T(x)] = L[x]</w:t>
      </w:r>
    </w:p>
    <w:p>
      <w:pPr>
        <w:pStyle w:val="ListBullet"/>
        <w:spacing w:after="40"/>
      </w:pPr>
      <w:r>
        <w:t>Candidate invariants shall be validated numerically and, where relevant, symbolically.</w:t>
      </w:r>
    </w:p>
    <w:p>
      <w:pPr>
        <w:pStyle w:val="ListBullet"/>
        <w:spacing w:after="40"/>
      </w:pPr>
      <w:r>
        <w:t>Potential conservation laws require independent derivation or empirical verification.</w:t>
      </w:r>
    </w:p>
    <w:p>
      <w:pPr>
        <w:pStyle w:val="Heading2"/>
      </w:pPr>
      <w:r>
        <w:t>8.3 Emergence and phase-transition discovery</w:t>
      </w:r>
    </w:p>
    <w:p>
      <w:r>
        <w:t>Search shall include nonlinear and collective behavior: critical points, phase transitions, emergent variables, self-organization and regime changes.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blHeader w:val="true"/>
          <w:tblHeader w:val="true"/>
        </w:trPr>
        <w:tc>
          <w:tcPr>
            <w:tcW w:type="dxa" w:w="1440"/>
            <w:vAlign w:val="center"/>
            <w:tcMar>
              <w:top w:w="80" w:type="dxa"/>
              <w:start w:w="90" w:type="dxa"/>
              <w:bottom w:w="80" w:type="dxa"/>
              <w:end w:w="90" w:type="dxa"/>
            </w:tcMar>
            <w:shd w:fill="1F4E78"/>
          </w:tcPr>
          <w:p>
            <w:pPr>
              <w:spacing w:after="40"/>
            </w:pPr>
            <w:r>
              <w:rPr>
                <w:b/>
                <w:sz w:val="17"/>
              </w:rPr>
              <w:t>Requirement ID</w:t>
            </w:r>
          </w:p>
        </w:tc>
        <w:tc>
          <w:tcPr>
            <w:tcW w:type="dxa" w:w="5184"/>
            <w:vAlign w:val="center"/>
            <w:tcMar>
              <w:top w:w="80" w:type="dxa"/>
              <w:start w:w="90" w:type="dxa"/>
              <w:bottom w:w="80" w:type="dxa"/>
              <w:end w:w="90" w:type="dxa"/>
            </w:tcMar>
            <w:shd w:fill="1F4E78"/>
          </w:tcPr>
          <w:p>
            <w:pPr>
              <w:spacing w:after="40"/>
            </w:pPr>
            <w:r>
              <w:rPr>
                <w:b/>
                <w:sz w:val="17"/>
              </w:rPr>
              <w:t>Requirement</w:t>
            </w:r>
          </w:p>
        </w:tc>
        <w:tc>
          <w:tcPr>
            <w:tcW w:type="dxa" w:w="1152"/>
            <w:vAlign w:val="center"/>
            <w:tcMar>
              <w:top w:w="80" w:type="dxa"/>
              <w:start w:w="90" w:type="dxa"/>
              <w:bottom w:w="80" w:type="dxa"/>
              <w:end w:w="90" w:type="dxa"/>
            </w:tcMar>
            <w:shd w:fill="1F4E78"/>
          </w:tcPr>
          <w:p>
            <w:pPr>
              <w:spacing w:after="40"/>
            </w:pPr>
            <w:r>
              <w:rPr>
                <w:b/>
                <w:sz w:val="17"/>
              </w:rPr>
              <w:t>Priority</w:t>
            </w:r>
          </w:p>
        </w:tc>
        <w:tc>
          <w:tcPr>
            <w:tcW w:type="dxa" w:w="2016"/>
            <w:vAlign w:val="center"/>
            <w:tcMar>
              <w:top w:w="80" w:type="dxa"/>
              <w:start w:w="90" w:type="dxa"/>
              <w:bottom w:w="80" w:type="dxa"/>
              <w:end w:w="90" w:type="dxa"/>
            </w:tcMar>
            <w:shd w:fill="1F4E78"/>
          </w:tcPr>
          <w:p>
            <w:pPr>
              <w:spacing w:after="40"/>
            </w:pPr>
            <w:r>
              <w:rPr>
                <w:b/>
                <w:sz w:val="17"/>
              </w:rPr>
              <w:t>Acceptance evidence</w:t>
            </w:r>
          </w:p>
        </w:tc>
      </w:tr>
      <w:tr>
        <w:tc>
          <w:tcPr>
            <w:tcW w:type="dxa" w:w="1440"/>
            <w:vAlign w:val="center"/>
            <w:tcMar>
              <w:top w:w="80" w:type="dxa"/>
              <w:start w:w="90" w:type="dxa"/>
              <w:bottom w:w="80" w:type="dxa"/>
              <w:end w:w="90" w:type="dxa"/>
            </w:tcMar>
          </w:tcPr>
          <w:p>
            <w:pPr>
              <w:spacing w:after="40"/>
            </w:pPr>
            <w:r>
              <w:rPr>
                <w:sz w:val="17"/>
              </w:rPr>
              <w:t>DISC-001</w:t>
            </w:r>
          </w:p>
        </w:tc>
        <w:tc>
          <w:tcPr>
            <w:tcW w:type="dxa" w:w="5184"/>
            <w:vAlign w:val="center"/>
            <w:tcMar>
              <w:top w:w="80" w:type="dxa"/>
              <w:start w:w="90" w:type="dxa"/>
              <w:bottom w:w="80" w:type="dxa"/>
              <w:end w:w="90" w:type="dxa"/>
            </w:tcMar>
          </w:tcPr>
          <w:p>
            <w:pPr>
              <w:spacing w:after="40"/>
            </w:pPr>
            <w:r>
              <w:rPr>
                <w:sz w:val="17"/>
              </w:rPr>
              <w:t>Support dimensionless-group discovery as a search primitive.</w:t>
            </w:r>
          </w:p>
        </w:tc>
        <w:tc>
          <w:tcPr>
            <w:tcW w:type="dxa" w:w="1152"/>
            <w:vAlign w:val="center"/>
            <w:tcMar>
              <w:top w:w="80" w:type="dxa"/>
              <w:start w:w="90" w:type="dxa"/>
              <w:bottom w:w="80" w:type="dxa"/>
              <w:end w:w="90" w:type="dxa"/>
            </w:tcMar>
          </w:tcPr>
          <w:p>
            <w:pPr>
              <w:spacing w:after="40"/>
            </w:pPr>
            <w:r>
              <w:rPr>
                <w:sz w:val="17"/>
              </w:rPr>
              <w:t>SHOULD</w:t>
            </w:r>
          </w:p>
        </w:tc>
        <w:tc>
          <w:tcPr>
            <w:tcW w:type="dxa" w:w="2016"/>
            <w:vAlign w:val="center"/>
            <w:tcMar>
              <w:top w:w="80" w:type="dxa"/>
              <w:start w:w="90" w:type="dxa"/>
              <w:bottom w:w="80" w:type="dxa"/>
              <w:end w:w="90" w:type="dxa"/>
            </w:tcMar>
          </w:tcPr>
          <w:p>
            <w:pPr>
              <w:spacing w:after="40"/>
            </w:pPr>
            <w:r>
              <w:rPr>
                <w:sz w:val="17"/>
              </w:rPr>
              <w:t>Synthetic scaling benchmark.</w:t>
            </w:r>
          </w:p>
        </w:tc>
      </w:tr>
      <w:tr>
        <w:tc>
          <w:tcPr>
            <w:tcW w:type="dxa" w:w="1440"/>
            <w:vAlign w:val="center"/>
            <w:tcMar>
              <w:top w:w="80" w:type="dxa"/>
              <w:start w:w="90" w:type="dxa"/>
              <w:bottom w:w="80" w:type="dxa"/>
              <w:end w:w="90" w:type="dxa"/>
            </w:tcMar>
          </w:tcPr>
          <w:p>
            <w:pPr>
              <w:spacing w:after="40"/>
            </w:pPr>
            <w:r>
              <w:rPr>
                <w:sz w:val="17"/>
              </w:rPr>
              <w:t>DISC-002</w:t>
            </w:r>
          </w:p>
        </w:tc>
        <w:tc>
          <w:tcPr>
            <w:tcW w:type="dxa" w:w="5184"/>
            <w:vAlign w:val="center"/>
            <w:tcMar>
              <w:top w:w="80" w:type="dxa"/>
              <w:start w:w="90" w:type="dxa"/>
              <w:bottom w:w="80" w:type="dxa"/>
              <w:end w:w="90" w:type="dxa"/>
            </w:tcMar>
          </w:tcPr>
          <w:p>
            <w:pPr>
              <w:spacing w:after="40"/>
            </w:pPr>
            <w:r>
              <w:rPr>
                <w:sz w:val="17"/>
              </w:rPr>
              <w:t>Support symmetry/invariant candidate generation.</w:t>
            </w:r>
          </w:p>
        </w:tc>
        <w:tc>
          <w:tcPr>
            <w:tcW w:type="dxa" w:w="1152"/>
            <w:vAlign w:val="center"/>
            <w:tcMar>
              <w:top w:w="80" w:type="dxa"/>
              <w:start w:w="90" w:type="dxa"/>
              <w:bottom w:w="80" w:type="dxa"/>
              <w:end w:w="90" w:type="dxa"/>
            </w:tcMar>
          </w:tcPr>
          <w:p>
            <w:pPr>
              <w:spacing w:after="40"/>
            </w:pPr>
            <w:r>
              <w:rPr>
                <w:sz w:val="17"/>
              </w:rPr>
              <w:t>SHOULD</w:t>
            </w:r>
          </w:p>
        </w:tc>
        <w:tc>
          <w:tcPr>
            <w:tcW w:type="dxa" w:w="2016"/>
            <w:vAlign w:val="center"/>
            <w:tcMar>
              <w:top w:w="80" w:type="dxa"/>
              <w:start w:w="90" w:type="dxa"/>
              <w:bottom w:w="80" w:type="dxa"/>
              <w:end w:w="90" w:type="dxa"/>
            </w:tcMar>
          </w:tcPr>
          <w:p>
            <w:pPr>
              <w:spacing w:after="40"/>
            </w:pPr>
            <w:r>
              <w:rPr>
                <w:sz w:val="17"/>
              </w:rPr>
              <w:t>Known-symmetry recovery suite.</w:t>
            </w:r>
          </w:p>
        </w:tc>
      </w:tr>
      <w:tr>
        <w:tc>
          <w:tcPr>
            <w:tcW w:type="dxa" w:w="1440"/>
            <w:vAlign w:val="center"/>
            <w:tcMar>
              <w:top w:w="80" w:type="dxa"/>
              <w:start w:w="90" w:type="dxa"/>
              <w:bottom w:w="80" w:type="dxa"/>
              <w:end w:w="90" w:type="dxa"/>
            </w:tcMar>
          </w:tcPr>
          <w:p>
            <w:pPr>
              <w:spacing w:after="40"/>
            </w:pPr>
            <w:r>
              <w:rPr>
                <w:sz w:val="17"/>
              </w:rPr>
              <w:t>DISC-003</w:t>
            </w:r>
          </w:p>
        </w:tc>
        <w:tc>
          <w:tcPr>
            <w:tcW w:type="dxa" w:w="5184"/>
            <w:vAlign w:val="center"/>
            <w:tcMar>
              <w:top w:w="80" w:type="dxa"/>
              <w:start w:w="90" w:type="dxa"/>
              <w:bottom w:w="80" w:type="dxa"/>
              <w:end w:w="90" w:type="dxa"/>
            </w:tcMar>
          </w:tcPr>
          <w:p>
            <w:pPr>
              <w:spacing w:after="40"/>
            </w:pPr>
            <w:r>
              <w:rPr>
                <w:sz w:val="17"/>
              </w:rPr>
              <w:t>Detect regime changes and candidate phase transitions.</w:t>
            </w:r>
          </w:p>
        </w:tc>
        <w:tc>
          <w:tcPr>
            <w:tcW w:type="dxa" w:w="1152"/>
            <w:vAlign w:val="center"/>
            <w:tcMar>
              <w:top w:w="80" w:type="dxa"/>
              <w:start w:w="90" w:type="dxa"/>
              <w:bottom w:w="80" w:type="dxa"/>
              <w:end w:w="90" w:type="dxa"/>
            </w:tcMar>
          </w:tcPr>
          <w:p>
            <w:pPr>
              <w:spacing w:after="40"/>
            </w:pPr>
            <w:r>
              <w:rPr>
                <w:sz w:val="17"/>
              </w:rPr>
              <w:t>SHOULD</w:t>
            </w:r>
          </w:p>
        </w:tc>
        <w:tc>
          <w:tcPr>
            <w:tcW w:type="dxa" w:w="2016"/>
            <w:vAlign w:val="center"/>
            <w:tcMar>
              <w:top w:w="80" w:type="dxa"/>
              <w:start w:w="90" w:type="dxa"/>
              <w:bottom w:w="80" w:type="dxa"/>
              <w:end w:w="90" w:type="dxa"/>
            </w:tcMar>
          </w:tcPr>
          <w:p>
            <w:pPr>
              <w:spacing w:after="40"/>
            </w:pPr>
            <w:r>
              <w:rPr>
                <w:sz w:val="17"/>
              </w:rPr>
              <w:t>Synthetic critical-point benchmark.</w:t>
            </w:r>
          </w:p>
        </w:tc>
      </w:tr>
      <w:tr>
        <w:tc>
          <w:tcPr>
            <w:tcW w:type="dxa" w:w="1440"/>
            <w:vAlign w:val="center"/>
            <w:tcMar>
              <w:top w:w="80" w:type="dxa"/>
              <w:start w:w="90" w:type="dxa"/>
              <w:bottom w:w="80" w:type="dxa"/>
              <w:end w:w="90" w:type="dxa"/>
            </w:tcMar>
          </w:tcPr>
          <w:p>
            <w:pPr>
              <w:spacing w:after="40"/>
            </w:pPr>
            <w:r>
              <w:rPr>
                <w:sz w:val="17"/>
              </w:rPr>
              <w:t>DISC-004</w:t>
            </w:r>
          </w:p>
        </w:tc>
        <w:tc>
          <w:tcPr>
            <w:tcW w:type="dxa" w:w="5184"/>
            <w:vAlign w:val="center"/>
            <w:tcMar>
              <w:top w:w="80" w:type="dxa"/>
              <w:start w:w="90" w:type="dxa"/>
              <w:bottom w:w="80" w:type="dxa"/>
              <w:end w:w="90" w:type="dxa"/>
            </w:tcMar>
          </w:tcPr>
          <w:p>
            <w:pPr>
              <w:spacing w:after="40"/>
            </w:pPr>
            <w:r>
              <w:rPr>
                <w:sz w:val="17"/>
              </w:rPr>
              <w:t>Preserve candidate discovery structures even when physical interpretation remains unknown.</w:t>
            </w:r>
          </w:p>
        </w:tc>
        <w:tc>
          <w:tcPr>
            <w:tcW w:type="dxa" w:w="1152"/>
            <w:vAlign w:val="center"/>
            <w:tcMar>
              <w:top w:w="80" w:type="dxa"/>
              <w:start w:w="90" w:type="dxa"/>
              <w:bottom w:w="80" w:type="dxa"/>
              <w:end w:w="90" w:type="dxa"/>
            </w:tcMar>
          </w:tcPr>
          <w:p>
            <w:pPr>
              <w:spacing w:after="40"/>
            </w:pPr>
            <w:r>
              <w:rPr>
                <w:sz w:val="17"/>
              </w:rPr>
              <w:t>MUST</w:t>
            </w:r>
          </w:p>
        </w:tc>
        <w:tc>
          <w:tcPr>
            <w:tcW w:type="dxa" w:w="2016"/>
            <w:vAlign w:val="center"/>
            <w:tcMar>
              <w:top w:w="80" w:type="dxa"/>
              <w:start w:w="90" w:type="dxa"/>
              <w:bottom w:w="80" w:type="dxa"/>
              <w:end w:w="90" w:type="dxa"/>
            </w:tcMar>
          </w:tcPr>
          <w:p>
            <w:pPr>
              <w:spacing w:after="40"/>
            </w:pPr>
            <w:r>
              <w:rPr>
                <w:sz w:val="17"/>
              </w:rPr>
              <w:t>Discovery artifact linked to provenance.</w:t>
            </w:r>
          </w:p>
        </w:tc>
      </w:tr>
    </w:tbl>
    <w:p>
      <w:pPr>
        <w:pStyle w:val="Heading1"/>
      </w:pPr>
      <w:r>
        <w:t>9. Scale-Bridging Architecture</w:t>
      </w:r>
    </w:p>
    <w:p>
      <w:r>
        <w:t>The platform shall explicitly bridge physical descriptions rather than assuming that a successful model at one scale automatically remains valid at another.</w:t>
      </w:r>
    </w:p>
    <w:p>
      <w:pPr>
        <w:spacing w:before="80" w:after="80"/>
        <w:jc w:val="center"/>
      </w:pPr>
      <w:r>
        <w:rPr>
          <w:b/>
          <w:sz w:val="22"/>
        </w:rPr>
        <w:t>quantum → molecular → mesoscale → continuum → device → system</w:t>
      </w:r>
    </w:p>
    <w:tbl>
      <w:tblPr>
        <w:tblStyle w:val="TableGrid"/>
        <w:tblW w:type="auto" w:w="0"/>
        <w:jc w:val="center"/>
        <w:tblLook w:firstColumn="1" w:firstRow="1" w:lastColumn="0" w:lastRow="0" w:noHBand="0" w:noVBand="1" w:val="04A0"/>
      </w:tblPr>
      <w:tblGrid>
        <w:gridCol w:w="3331"/>
        <w:gridCol w:w="3331"/>
        <w:gridCol w:w="3331"/>
      </w:tblGrid>
      <w:tr>
        <w:trPr>
          <w:tblHeader w:val="true"/>
          <w:tblHeader w:val="true"/>
          <w:tblHeader w:val="true"/>
        </w:trPr>
        <w:tc>
          <w:tcPr>
            <w:tcW w:type="dxa" w:w="1800"/>
            <w:vAlign w:val="center"/>
            <w:tcMar>
              <w:top w:w="80" w:type="dxa"/>
              <w:start w:w="90" w:type="dxa"/>
              <w:bottom w:w="80" w:type="dxa"/>
              <w:end w:w="90" w:type="dxa"/>
            </w:tcMar>
            <w:shd w:fill="1F4E78"/>
          </w:tcPr>
          <w:p>
            <w:pPr>
              <w:spacing w:after="40"/>
            </w:pPr>
            <w:r>
              <w:rPr>
                <w:b/>
                <w:sz w:val="17"/>
              </w:rPr>
              <w:t>Layer</w:t>
            </w:r>
          </w:p>
        </w:tc>
        <w:tc>
          <w:tcPr>
            <w:tcW w:type="dxa" w:w="3672"/>
            <w:vAlign w:val="center"/>
            <w:tcMar>
              <w:top w:w="80" w:type="dxa"/>
              <w:start w:w="90" w:type="dxa"/>
              <w:bottom w:w="80" w:type="dxa"/>
              <w:end w:w="90" w:type="dxa"/>
            </w:tcMar>
            <w:shd w:fill="1F4E78"/>
          </w:tcPr>
          <w:p>
            <w:pPr>
              <w:spacing w:after="40"/>
            </w:pPr>
            <w:r>
              <w:rPr>
                <w:b/>
                <w:sz w:val="17"/>
              </w:rPr>
              <w:t>Primary representation</w:t>
            </w:r>
          </w:p>
        </w:tc>
        <w:tc>
          <w:tcPr>
            <w:tcW w:type="dxa" w:w="4320"/>
            <w:vAlign w:val="center"/>
            <w:tcMar>
              <w:top w:w="80" w:type="dxa"/>
              <w:start w:w="90" w:type="dxa"/>
              <w:bottom w:w="80" w:type="dxa"/>
              <w:end w:w="90" w:type="dxa"/>
            </w:tcMar>
            <w:shd w:fill="1F4E78"/>
          </w:tcPr>
          <w:p>
            <w:pPr>
              <w:spacing w:after="40"/>
            </w:pPr>
            <w:r>
              <w:rPr>
                <w:b/>
                <w:sz w:val="17"/>
              </w:rPr>
              <w:t>Required bridge evidence</w:t>
            </w:r>
          </w:p>
        </w:tc>
      </w:tr>
      <w:tr>
        <w:tc>
          <w:tcPr>
            <w:tcW w:type="dxa" w:w="1800"/>
            <w:vAlign w:val="center"/>
            <w:tcMar>
              <w:top w:w="80" w:type="dxa"/>
              <w:start w:w="90" w:type="dxa"/>
              <w:bottom w:w="80" w:type="dxa"/>
              <w:end w:w="90" w:type="dxa"/>
            </w:tcMar>
          </w:tcPr>
          <w:p>
            <w:pPr>
              <w:spacing w:after="40"/>
            </w:pPr>
            <w:r>
              <w:rPr>
                <w:sz w:val="17"/>
              </w:rPr>
              <w:t>Quantum</w:t>
            </w:r>
          </w:p>
        </w:tc>
        <w:tc>
          <w:tcPr>
            <w:tcW w:type="dxa" w:w="3672"/>
            <w:vAlign w:val="center"/>
            <w:tcMar>
              <w:top w:w="80" w:type="dxa"/>
              <w:start w:w="90" w:type="dxa"/>
              <w:bottom w:w="80" w:type="dxa"/>
              <w:end w:w="90" w:type="dxa"/>
            </w:tcMar>
          </w:tcPr>
          <w:p>
            <w:pPr>
              <w:spacing w:after="40"/>
            </w:pPr>
            <w:r>
              <w:rPr>
                <w:sz w:val="17"/>
              </w:rPr>
              <w:t>States/Hamiltonians/field variables</w:t>
            </w:r>
          </w:p>
        </w:tc>
        <w:tc>
          <w:tcPr>
            <w:tcW w:type="dxa" w:w="4320"/>
            <w:vAlign w:val="center"/>
            <w:tcMar>
              <w:top w:w="80" w:type="dxa"/>
              <w:start w:w="90" w:type="dxa"/>
              <w:bottom w:w="80" w:type="dxa"/>
              <w:end w:w="90" w:type="dxa"/>
            </w:tcMar>
          </w:tcPr>
          <w:p>
            <w:pPr>
              <w:spacing w:after="40"/>
            </w:pPr>
            <w:r>
              <w:rPr>
                <w:sz w:val="17"/>
              </w:rPr>
              <w:t>Reduced model accuracy envelope.</w:t>
            </w:r>
          </w:p>
        </w:tc>
      </w:tr>
      <w:tr>
        <w:tc>
          <w:tcPr>
            <w:tcW w:type="dxa" w:w="1800"/>
            <w:vAlign w:val="center"/>
            <w:tcMar>
              <w:top w:w="80" w:type="dxa"/>
              <w:start w:w="90" w:type="dxa"/>
              <w:bottom w:w="80" w:type="dxa"/>
              <w:end w:w="90" w:type="dxa"/>
            </w:tcMar>
          </w:tcPr>
          <w:p>
            <w:pPr>
              <w:spacing w:after="40"/>
            </w:pPr>
            <w:r>
              <w:rPr>
                <w:sz w:val="17"/>
              </w:rPr>
              <w:t>Molecular</w:t>
            </w:r>
          </w:p>
        </w:tc>
        <w:tc>
          <w:tcPr>
            <w:tcW w:type="dxa" w:w="3672"/>
            <w:vAlign w:val="center"/>
            <w:tcMar>
              <w:top w:w="80" w:type="dxa"/>
              <w:start w:w="90" w:type="dxa"/>
              <w:bottom w:w="80" w:type="dxa"/>
              <w:end w:w="90" w:type="dxa"/>
            </w:tcMar>
          </w:tcPr>
          <w:p>
            <w:pPr>
              <w:spacing w:after="40"/>
            </w:pPr>
            <w:r>
              <w:rPr>
                <w:sz w:val="17"/>
              </w:rPr>
              <w:t>Electronic structure/MD/reaction coordinates</w:t>
            </w:r>
          </w:p>
        </w:tc>
        <w:tc>
          <w:tcPr>
            <w:tcW w:type="dxa" w:w="4320"/>
            <w:vAlign w:val="center"/>
            <w:tcMar>
              <w:top w:w="80" w:type="dxa"/>
              <w:start w:w="90" w:type="dxa"/>
              <w:bottom w:w="80" w:type="dxa"/>
              <w:end w:w="90" w:type="dxa"/>
            </w:tcMar>
          </w:tcPr>
          <w:p>
            <w:pPr>
              <w:spacing w:after="40"/>
            </w:pPr>
            <w:r>
              <w:rPr>
                <w:sz w:val="17"/>
              </w:rPr>
              <w:t>Parameter mapping to effective properties.</w:t>
            </w:r>
          </w:p>
        </w:tc>
      </w:tr>
      <w:tr>
        <w:tc>
          <w:tcPr>
            <w:tcW w:type="dxa" w:w="1800"/>
            <w:vAlign w:val="center"/>
            <w:tcMar>
              <w:top w:w="80" w:type="dxa"/>
              <w:start w:w="90" w:type="dxa"/>
              <w:bottom w:w="80" w:type="dxa"/>
              <w:end w:w="90" w:type="dxa"/>
            </w:tcMar>
          </w:tcPr>
          <w:p>
            <w:pPr>
              <w:spacing w:after="40"/>
            </w:pPr>
            <w:r>
              <w:rPr>
                <w:sz w:val="17"/>
              </w:rPr>
              <w:t>Mesoscale</w:t>
            </w:r>
          </w:p>
        </w:tc>
        <w:tc>
          <w:tcPr>
            <w:tcW w:type="dxa" w:w="3672"/>
            <w:vAlign w:val="center"/>
            <w:tcMar>
              <w:top w:w="80" w:type="dxa"/>
              <w:start w:w="90" w:type="dxa"/>
              <w:bottom w:w="80" w:type="dxa"/>
              <w:end w:w="90" w:type="dxa"/>
            </w:tcMar>
          </w:tcPr>
          <w:p>
            <w:pPr>
              <w:spacing w:after="40"/>
            </w:pPr>
            <w:r>
              <w:rPr>
                <w:sz w:val="17"/>
              </w:rPr>
              <w:t>Microstructure/collective variables</w:t>
            </w:r>
          </w:p>
        </w:tc>
        <w:tc>
          <w:tcPr>
            <w:tcW w:type="dxa" w:w="4320"/>
            <w:vAlign w:val="center"/>
            <w:tcMar>
              <w:top w:w="80" w:type="dxa"/>
              <w:start w:w="90" w:type="dxa"/>
              <w:bottom w:w="80" w:type="dxa"/>
              <w:end w:w="90" w:type="dxa"/>
            </w:tcMar>
          </w:tcPr>
          <w:p>
            <w:pPr>
              <w:spacing w:after="40"/>
            </w:pPr>
            <w:r>
              <w:rPr>
                <w:sz w:val="17"/>
              </w:rPr>
              <w:t>Closure or homogenization validation.</w:t>
            </w:r>
          </w:p>
        </w:tc>
      </w:tr>
      <w:tr>
        <w:tc>
          <w:tcPr>
            <w:tcW w:type="dxa" w:w="1800"/>
            <w:vAlign w:val="center"/>
            <w:tcMar>
              <w:top w:w="80" w:type="dxa"/>
              <w:start w:w="90" w:type="dxa"/>
              <w:bottom w:w="80" w:type="dxa"/>
              <w:end w:w="90" w:type="dxa"/>
            </w:tcMar>
          </w:tcPr>
          <w:p>
            <w:pPr>
              <w:spacing w:after="40"/>
            </w:pPr>
            <w:r>
              <w:rPr>
                <w:sz w:val="17"/>
              </w:rPr>
              <w:t>Continuum</w:t>
            </w:r>
          </w:p>
        </w:tc>
        <w:tc>
          <w:tcPr>
            <w:tcW w:type="dxa" w:w="3672"/>
            <w:vAlign w:val="center"/>
            <w:tcMar>
              <w:top w:w="80" w:type="dxa"/>
              <w:start w:w="90" w:type="dxa"/>
              <w:bottom w:w="80" w:type="dxa"/>
              <w:end w:w="90" w:type="dxa"/>
            </w:tcMar>
          </w:tcPr>
          <w:p>
            <w:pPr>
              <w:spacing w:after="40"/>
            </w:pPr>
            <w:r>
              <w:rPr>
                <w:sz w:val="17"/>
              </w:rPr>
              <w:t>PDE/constitutive model</w:t>
            </w:r>
          </w:p>
        </w:tc>
        <w:tc>
          <w:tcPr>
            <w:tcW w:type="dxa" w:w="4320"/>
            <w:vAlign w:val="center"/>
            <w:tcMar>
              <w:top w:w="80" w:type="dxa"/>
              <w:start w:w="90" w:type="dxa"/>
              <w:bottom w:w="80" w:type="dxa"/>
              <w:end w:w="90" w:type="dxa"/>
            </w:tcMar>
          </w:tcPr>
          <w:p>
            <w:pPr>
              <w:spacing w:after="40"/>
            </w:pPr>
            <w:r>
              <w:rPr>
                <w:sz w:val="17"/>
              </w:rPr>
              <w:t>Conservation and boundary consistency.</w:t>
            </w:r>
          </w:p>
        </w:tc>
      </w:tr>
      <w:tr>
        <w:tc>
          <w:tcPr>
            <w:tcW w:type="dxa" w:w="1800"/>
            <w:vAlign w:val="center"/>
            <w:tcMar>
              <w:top w:w="80" w:type="dxa"/>
              <w:start w:w="90" w:type="dxa"/>
              <w:bottom w:w="80" w:type="dxa"/>
              <w:end w:w="90" w:type="dxa"/>
            </w:tcMar>
          </w:tcPr>
          <w:p>
            <w:pPr>
              <w:spacing w:after="40"/>
            </w:pPr>
            <w:r>
              <w:rPr>
                <w:sz w:val="17"/>
              </w:rPr>
              <w:t>Device</w:t>
            </w:r>
          </w:p>
        </w:tc>
        <w:tc>
          <w:tcPr>
            <w:tcW w:type="dxa" w:w="3672"/>
            <w:vAlign w:val="center"/>
            <w:tcMar>
              <w:top w:w="80" w:type="dxa"/>
              <w:start w:w="90" w:type="dxa"/>
              <w:bottom w:w="80" w:type="dxa"/>
              <w:end w:w="90" w:type="dxa"/>
            </w:tcMar>
          </w:tcPr>
          <w:p>
            <w:pPr>
              <w:spacing w:after="40"/>
            </w:pPr>
            <w:r>
              <w:rPr>
                <w:sz w:val="17"/>
              </w:rPr>
              <w:t>Geometry/material/process model</w:t>
            </w:r>
          </w:p>
        </w:tc>
        <w:tc>
          <w:tcPr>
            <w:tcW w:type="dxa" w:w="4320"/>
            <w:vAlign w:val="center"/>
            <w:tcMar>
              <w:top w:w="80" w:type="dxa"/>
              <w:start w:w="90" w:type="dxa"/>
              <w:bottom w:w="80" w:type="dxa"/>
              <w:end w:w="90" w:type="dxa"/>
            </w:tcMar>
          </w:tcPr>
          <w:p>
            <w:pPr>
              <w:spacing w:after="40"/>
            </w:pPr>
            <w:r>
              <w:rPr>
                <w:sz w:val="17"/>
              </w:rPr>
              <w:t>Hardware correlation.</w:t>
            </w:r>
          </w:p>
        </w:tc>
      </w:tr>
      <w:tr>
        <w:tc>
          <w:tcPr>
            <w:tcW w:type="dxa" w:w="1800"/>
            <w:vAlign w:val="center"/>
            <w:tcMar>
              <w:top w:w="80" w:type="dxa"/>
              <w:start w:w="90" w:type="dxa"/>
              <w:bottom w:w="80" w:type="dxa"/>
              <w:end w:w="90" w:type="dxa"/>
            </w:tcMar>
          </w:tcPr>
          <w:p>
            <w:pPr>
              <w:spacing w:after="40"/>
            </w:pPr>
            <w:r>
              <w:rPr>
                <w:sz w:val="17"/>
              </w:rPr>
              <w:t>System</w:t>
            </w:r>
          </w:p>
        </w:tc>
        <w:tc>
          <w:tcPr>
            <w:tcW w:type="dxa" w:w="3672"/>
            <w:vAlign w:val="center"/>
            <w:tcMar>
              <w:top w:w="80" w:type="dxa"/>
              <w:start w:w="90" w:type="dxa"/>
              <w:bottom w:w="80" w:type="dxa"/>
              <w:end w:w="90" w:type="dxa"/>
            </w:tcMar>
          </w:tcPr>
          <w:p>
            <w:pPr>
              <w:spacing w:after="40"/>
            </w:pPr>
            <w:r>
              <w:rPr>
                <w:sz w:val="17"/>
              </w:rPr>
              <w:t>Network/control/resource model</w:t>
            </w:r>
          </w:p>
        </w:tc>
        <w:tc>
          <w:tcPr>
            <w:tcW w:type="dxa" w:w="4320"/>
            <w:vAlign w:val="center"/>
            <w:tcMar>
              <w:top w:w="80" w:type="dxa"/>
              <w:start w:w="90" w:type="dxa"/>
              <w:bottom w:w="80" w:type="dxa"/>
              <w:end w:w="90" w:type="dxa"/>
            </w:tcMar>
          </w:tcPr>
          <w:p>
            <w:pPr>
              <w:spacing w:after="40"/>
            </w:pPr>
            <w:r>
              <w:rPr>
                <w:sz w:val="17"/>
              </w:rPr>
              <w:t>End-to-end conservation and performance validation.</w:t>
            </w:r>
          </w:p>
        </w:tc>
      </w:tr>
    </w:tbl>
    <w:p>
      <w:pPr>
        <w:pStyle w:val="Heading1"/>
      </w:pPr>
      <w:r>
        <w:t>10. Multi-Fidelity Simulation &amp; Surrogate Governance</w:t>
      </w:r>
    </w:p>
    <w:p>
      <w:pPr>
        <w:spacing w:before="80" w:after="80"/>
        <w:jc w:val="center"/>
      </w:pPr>
      <w:r>
        <w:rPr>
          <w:b/>
          <w:sz w:val="22"/>
        </w:rPr>
        <w:t>M₀ → M₁ → M₂ → M₃</w:t>
      </w:r>
    </w:p>
    <w:p>
      <w:r>
        <w:t>M₀ may represent cheap screening, M₁ reduced-order models, M₂ high-fidelity simulation and M₃ physical test. Advancement between levels requires quantified error and uncertainty.</w:t>
      </w:r>
    </w:p>
    <w:p>
      <w:pPr>
        <w:pStyle w:val="ListBullet"/>
        <w:spacing w:after="40"/>
      </w:pPr>
      <w:r>
        <w:t>Track surrogate error against high-fidelity reference data.</w:t>
      </w:r>
    </w:p>
    <w:p>
      <w:pPr>
        <w:pStyle w:val="ListBullet"/>
        <w:spacing w:after="40"/>
      </w:pPr>
      <w:r>
        <w:t>Use adaptive escalation when uncertainty or expected decision impact exceeds thresholds.</w:t>
      </w:r>
    </w:p>
    <w:p>
      <w:pPr>
        <w:pStyle w:val="ListBullet"/>
        <w:spacing w:after="40"/>
      </w:pPr>
      <w:r>
        <w:t>Never allow a surrogate to silently replace a high-fidelity model outside its validated domain.</w:t>
      </w:r>
    </w:p>
    <w:p>
      <w:pPr>
        <w:pStyle w:val="ListBullet"/>
        <w:spacing w:after="40"/>
      </w:pPr>
      <w:r>
        <w:t>Cache and reuse results with provenance and validity metadata.</w:t>
      </w:r>
    </w:p>
    <w:p>
      <w:pPr>
        <w:pStyle w:val="Heading1"/>
      </w:pPr>
      <w:r>
        <w:t>11. Independent Measurement Diversity</w:t>
      </w:r>
    </w:p>
    <w:p>
      <w:pPr>
        <w:pStyle w:val="ListBullet"/>
        <w:spacing w:after="40"/>
      </w:pPr>
      <w:r>
        <w:t>Classify independence by sensor hardware, physical measurement principle, processing pipeline, dataset provenance and operator/team.</w:t>
      </w:r>
    </w:p>
    <w:p>
      <w:pPr>
        <w:pStyle w:val="ListBullet"/>
        <w:spacing w:after="40"/>
      </w:pPr>
      <w:r>
        <w:t>Promotion to high evidentiary status should favor orthogonal measurement mechanisms where feasible.</w:t>
      </w:r>
    </w:p>
    <w:p>
      <w:pPr>
        <w:pStyle w:val="ListBullet"/>
        <w:spacing w:after="40"/>
      </w:pPr>
      <w:r>
        <w:t>A second instrument that shares the same dominant systematic should not be treated as fully independent confirmation.</w:t>
      </w:r>
    </w:p>
    <w:p>
      <w:pPr>
        <w:pStyle w:val="Heading1"/>
      </w:pPr>
      <w:r>
        <w:t>12. Environmental Causal Graph &amp; Confounder Engine</w:t>
      </w:r>
    </w:p>
    <w:p>
      <w:r>
        <w:t>Maintain a causal graph linking external environment, laboratory state, instrument state and observation. Use it to test mundane pathways before promoting exotic explanations.</w:t>
      </w:r>
    </w:p>
    <w:p>
      <w:pPr>
        <w:pStyle w:val="ListBullet"/>
        <w:spacing w:after="40"/>
      </w:pPr>
      <w:r>
        <w:t>Temperature, vibration, acoustic, electromagnetic, radiation, atmospheric, power-quality and timing channels where relevant.</w:t>
      </w:r>
    </w:p>
    <w:p>
      <w:pPr>
        <w:pStyle w:val="ListBullet"/>
        <w:spacing w:after="40"/>
      </w:pPr>
      <w:r>
        <w:t>Support intervention or perturbation tests where safe and scientifically valid.</w:t>
      </w:r>
    </w:p>
    <w:p>
      <w:pPr>
        <w:pStyle w:val="ListBullet"/>
        <w:spacing w:after="40"/>
      </w:pPr>
      <w:r>
        <w:t>Record environmental variables used to explain or exclude anomalies.</w:t>
      </w:r>
    </w:p>
    <w:p>
      <w:pPr>
        <w:pStyle w:val="Heading1"/>
      </w:pPr>
      <w:r>
        <w:t>13. Unknown-Unknown Discovery Protocol</w:t>
      </w:r>
    </w:p>
    <w:p>
      <w:r>
        <w:t>An unresolved observation shall not automatically be labeled new physics. The platform may create an Unknown-Unknown Candidate only when measurement integrity, statistical controls, conventional-model coverage and alternative explanations have passed defined gates.</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1440"/>
            <w:vAlign w:val="center"/>
            <w:tcMar>
              <w:top w:w="80" w:type="dxa"/>
              <w:start w:w="90" w:type="dxa"/>
              <w:bottom w:w="80" w:type="dxa"/>
              <w:end w:w="90" w:type="dxa"/>
            </w:tcMar>
            <w:shd w:fill="1F4E78"/>
          </w:tcPr>
          <w:p>
            <w:pPr>
              <w:spacing w:after="40"/>
            </w:pPr>
            <w:r>
              <w:rPr>
                <w:b/>
                <w:sz w:val="17"/>
              </w:rPr>
              <w:t>Gate</w:t>
            </w:r>
          </w:p>
        </w:tc>
        <w:tc>
          <w:tcPr>
            <w:tcW w:type="dxa" w:w="8352"/>
            <w:vAlign w:val="center"/>
            <w:tcMar>
              <w:top w:w="80" w:type="dxa"/>
              <w:start w:w="90" w:type="dxa"/>
              <w:bottom w:w="80" w:type="dxa"/>
              <w:end w:w="90" w:type="dxa"/>
            </w:tcMar>
            <w:shd w:fill="1F4E78"/>
          </w:tcPr>
          <w:p>
            <w:pPr>
              <w:spacing w:after="40"/>
            </w:pPr>
            <w:r>
              <w:rPr>
                <w:b/>
                <w:sz w:val="17"/>
              </w:rPr>
              <w:t>Requirement</w:t>
            </w:r>
          </w:p>
        </w:tc>
      </w:tr>
      <w:tr>
        <w:tc>
          <w:tcPr>
            <w:tcW w:type="dxa" w:w="1440"/>
            <w:vAlign w:val="center"/>
            <w:tcMar>
              <w:top w:w="80" w:type="dxa"/>
              <w:start w:w="90" w:type="dxa"/>
              <w:bottom w:w="80" w:type="dxa"/>
              <w:end w:w="90" w:type="dxa"/>
            </w:tcMar>
          </w:tcPr>
          <w:p>
            <w:pPr>
              <w:spacing w:after="40"/>
            </w:pPr>
            <w:r>
              <w:rPr>
                <w:sz w:val="17"/>
              </w:rPr>
              <w:t>U1</w:t>
            </w:r>
          </w:p>
        </w:tc>
        <w:tc>
          <w:tcPr>
            <w:tcW w:type="dxa" w:w="8352"/>
            <w:vAlign w:val="center"/>
            <w:tcMar>
              <w:top w:w="80" w:type="dxa"/>
              <w:start w:w="90" w:type="dxa"/>
              <w:bottom w:w="80" w:type="dxa"/>
              <w:end w:w="90" w:type="dxa"/>
            </w:tcMar>
          </w:tcPr>
          <w:p>
            <w:pPr>
              <w:spacing w:after="40"/>
            </w:pPr>
            <w:r>
              <w:rPr>
                <w:sz w:val="17"/>
              </w:rPr>
              <w:t>Measurement and calibration validated.</w:t>
            </w:r>
          </w:p>
        </w:tc>
      </w:tr>
      <w:tr>
        <w:tc>
          <w:tcPr>
            <w:tcW w:type="dxa" w:w="1440"/>
            <w:vAlign w:val="center"/>
            <w:tcMar>
              <w:top w:w="80" w:type="dxa"/>
              <w:start w:w="90" w:type="dxa"/>
              <w:bottom w:w="80" w:type="dxa"/>
              <w:end w:w="90" w:type="dxa"/>
            </w:tcMar>
          </w:tcPr>
          <w:p>
            <w:pPr>
              <w:spacing w:after="40"/>
            </w:pPr>
            <w:r>
              <w:rPr>
                <w:sz w:val="17"/>
              </w:rPr>
              <w:t>U2</w:t>
            </w:r>
          </w:p>
        </w:tc>
        <w:tc>
          <w:tcPr>
            <w:tcW w:type="dxa" w:w="8352"/>
            <w:vAlign w:val="center"/>
            <w:tcMar>
              <w:top w:w="80" w:type="dxa"/>
              <w:start w:w="90" w:type="dxa"/>
              <w:bottom w:w="80" w:type="dxa"/>
              <w:end w:w="90" w:type="dxa"/>
            </w:tcMar>
          </w:tcPr>
          <w:p>
            <w:pPr>
              <w:spacing w:after="40"/>
            </w:pPr>
            <w:r>
              <w:rPr>
                <w:sz w:val="17"/>
              </w:rPr>
              <w:t>Null/background and multiple-testing controls validated.</w:t>
            </w:r>
          </w:p>
        </w:tc>
      </w:tr>
      <w:tr>
        <w:tc>
          <w:tcPr>
            <w:tcW w:type="dxa" w:w="1440"/>
            <w:vAlign w:val="center"/>
            <w:tcMar>
              <w:top w:w="80" w:type="dxa"/>
              <w:start w:w="90" w:type="dxa"/>
              <w:bottom w:w="80" w:type="dxa"/>
              <w:end w:w="90" w:type="dxa"/>
            </w:tcMar>
          </w:tcPr>
          <w:p>
            <w:pPr>
              <w:spacing w:after="40"/>
            </w:pPr>
            <w:r>
              <w:rPr>
                <w:sz w:val="17"/>
              </w:rPr>
              <w:t>U3</w:t>
            </w:r>
          </w:p>
        </w:tc>
        <w:tc>
          <w:tcPr>
            <w:tcW w:type="dxa" w:w="8352"/>
            <w:vAlign w:val="center"/>
            <w:tcMar>
              <w:top w:w="80" w:type="dxa"/>
              <w:start w:w="90" w:type="dxa"/>
              <w:bottom w:w="80" w:type="dxa"/>
              <w:end w:w="90" w:type="dxa"/>
            </w:tcMar>
          </w:tcPr>
          <w:p>
            <w:pPr>
              <w:spacing w:after="40"/>
            </w:pPr>
            <w:r>
              <w:rPr>
                <w:sz w:val="17"/>
              </w:rPr>
              <w:t>Relevant conventional and represented model classes searched within declared coverage.</w:t>
            </w:r>
          </w:p>
        </w:tc>
      </w:tr>
      <w:tr>
        <w:tc>
          <w:tcPr>
            <w:tcW w:type="dxa" w:w="1440"/>
            <w:vAlign w:val="center"/>
            <w:tcMar>
              <w:top w:w="80" w:type="dxa"/>
              <w:start w:w="90" w:type="dxa"/>
              <w:bottom w:w="80" w:type="dxa"/>
              <w:end w:w="90" w:type="dxa"/>
            </w:tcMar>
          </w:tcPr>
          <w:p>
            <w:pPr>
              <w:spacing w:after="40"/>
            </w:pPr>
            <w:r>
              <w:rPr>
                <w:sz w:val="17"/>
              </w:rPr>
              <w:t>U4</w:t>
            </w:r>
          </w:p>
        </w:tc>
        <w:tc>
          <w:tcPr>
            <w:tcW w:type="dxa" w:w="8352"/>
            <w:vAlign w:val="center"/>
            <w:tcMar>
              <w:top w:w="80" w:type="dxa"/>
              <w:start w:w="90" w:type="dxa"/>
              <w:bottom w:w="80" w:type="dxa"/>
              <w:end w:w="90" w:type="dxa"/>
            </w:tcMar>
          </w:tcPr>
          <w:p>
            <w:pPr>
              <w:spacing w:after="40"/>
            </w:pPr>
            <w:r>
              <w:rPr>
                <w:sz w:val="17"/>
              </w:rPr>
              <w:t>Persistent residual reproduced across time, processing route, or independent data where feasible.</w:t>
            </w:r>
          </w:p>
        </w:tc>
      </w:tr>
      <w:tr>
        <w:tc>
          <w:tcPr>
            <w:tcW w:type="dxa" w:w="1440"/>
            <w:vAlign w:val="center"/>
            <w:tcMar>
              <w:top w:w="80" w:type="dxa"/>
              <w:start w:w="90" w:type="dxa"/>
              <w:bottom w:w="80" w:type="dxa"/>
              <w:end w:w="90" w:type="dxa"/>
            </w:tcMar>
          </w:tcPr>
          <w:p>
            <w:pPr>
              <w:spacing w:after="40"/>
            </w:pPr>
            <w:r>
              <w:rPr>
                <w:sz w:val="17"/>
              </w:rPr>
              <w:t>U5</w:t>
            </w:r>
          </w:p>
        </w:tc>
        <w:tc>
          <w:tcPr>
            <w:tcW w:type="dxa" w:w="8352"/>
            <w:vAlign w:val="center"/>
            <w:tcMar>
              <w:top w:w="80" w:type="dxa"/>
              <w:start w:w="90" w:type="dxa"/>
              <w:bottom w:w="80" w:type="dxa"/>
              <w:end w:w="90" w:type="dxa"/>
            </w:tcMar>
          </w:tcPr>
          <w:p>
            <w:pPr>
              <w:spacing w:after="40"/>
            </w:pPr>
            <w:r>
              <w:rPr>
                <w:sz w:val="17"/>
              </w:rPr>
              <w:t>No known environmental/systematic pathway adequately explains the residual.</w:t>
            </w:r>
          </w:p>
        </w:tc>
      </w:tr>
      <w:tr>
        <w:tc>
          <w:tcPr>
            <w:tcW w:type="dxa" w:w="1440"/>
            <w:vAlign w:val="center"/>
            <w:tcMar>
              <w:top w:w="80" w:type="dxa"/>
              <w:start w:w="90" w:type="dxa"/>
              <w:bottom w:w="80" w:type="dxa"/>
              <w:end w:w="90" w:type="dxa"/>
            </w:tcMar>
          </w:tcPr>
          <w:p>
            <w:pPr>
              <w:spacing w:after="40"/>
            </w:pPr>
            <w:r>
              <w:rPr>
                <w:sz w:val="17"/>
              </w:rPr>
              <w:t>U6</w:t>
            </w:r>
          </w:p>
        </w:tc>
        <w:tc>
          <w:tcPr>
            <w:tcW w:type="dxa" w:w="8352"/>
            <w:vAlign w:val="center"/>
            <w:tcMar>
              <w:top w:w="80" w:type="dxa"/>
              <w:start w:w="90" w:type="dxa"/>
              <w:bottom w:w="80" w:type="dxa"/>
              <w:end w:w="90" w:type="dxa"/>
            </w:tcMar>
          </w:tcPr>
          <w:p>
            <w:pPr>
              <w:spacing w:after="40"/>
            </w:pPr>
            <w:r>
              <w:rPr>
                <w:sz w:val="17"/>
              </w:rPr>
              <w:t>A new model class, new measurement or new intervention would discriminate remaining possibilities.</w:t>
            </w:r>
          </w:p>
        </w:tc>
      </w:tr>
    </w:tbl>
    <w:p>
      <w:pPr>
        <w:pStyle w:val="Callout"/>
      </w:pPr>
      <w:r>
        <w:rPr>
          <w:b/>
        </w:rPr>
        <w:t xml:space="preserve">STATUS RULE. </w:t>
      </w:r>
      <w:r>
        <w:t>“Unknown-unknown candidate” means our current classification space is inadequate. It does not mean that exotic physics has been established.</w:t>
      </w:r>
    </w:p>
    <w:p>
      <w:pPr>
        <w:pStyle w:val="Heading1"/>
      </w:pPr>
      <w:r>
        <w:t>14. Discovery Mode vs Optimization Mode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blHeader w:val="true"/>
          <w:tblHeader w:val="true"/>
          <w:tblHeader w:val="true"/>
        </w:trPr>
        <w:tc>
          <w:tcPr>
            <w:tcW w:type="dxa" w:w="1656"/>
            <w:vAlign w:val="center"/>
            <w:tcMar>
              <w:top w:w="80" w:type="dxa"/>
              <w:start w:w="90" w:type="dxa"/>
              <w:bottom w:w="80" w:type="dxa"/>
              <w:end w:w="90" w:type="dxa"/>
            </w:tcMar>
            <w:shd w:fill="1F4E78"/>
          </w:tcPr>
          <w:p>
            <w:pPr>
              <w:spacing w:after="40"/>
            </w:pPr>
            <w:r>
              <w:rPr>
                <w:b/>
                <w:sz w:val="17"/>
              </w:rPr>
              <w:t>Mode</w:t>
            </w:r>
          </w:p>
        </w:tc>
        <w:tc>
          <w:tcPr>
            <w:tcW w:type="dxa" w:w="3384"/>
            <w:vAlign w:val="center"/>
            <w:tcMar>
              <w:top w:w="80" w:type="dxa"/>
              <w:start w:w="90" w:type="dxa"/>
              <w:bottom w:w="80" w:type="dxa"/>
              <w:end w:w="90" w:type="dxa"/>
            </w:tcMar>
            <w:shd w:fill="1F4E78"/>
          </w:tcPr>
          <w:p>
            <w:pPr>
              <w:spacing w:after="40"/>
            </w:pPr>
            <w:r>
              <w:rPr>
                <w:b/>
                <w:sz w:val="17"/>
              </w:rPr>
              <w:t>Primary question</w:t>
            </w:r>
          </w:p>
        </w:tc>
        <w:tc>
          <w:tcPr>
            <w:tcW w:type="dxa" w:w="3744"/>
            <w:vAlign w:val="center"/>
            <w:tcMar>
              <w:top w:w="80" w:type="dxa"/>
              <w:start w:w="90" w:type="dxa"/>
              <w:bottom w:w="80" w:type="dxa"/>
              <w:end w:w="90" w:type="dxa"/>
            </w:tcMar>
            <w:shd w:fill="1F4E78"/>
          </w:tcPr>
          <w:p>
            <w:pPr>
              <w:spacing w:after="40"/>
            </w:pPr>
            <w:r>
              <w:rPr>
                <w:b/>
                <w:sz w:val="17"/>
              </w:rPr>
              <w:t>Allowed search behavior</w:t>
            </w:r>
          </w:p>
        </w:tc>
        <w:tc>
          <w:tcPr>
            <w:tcW w:type="dxa" w:w="1440"/>
            <w:vAlign w:val="center"/>
            <w:tcMar>
              <w:top w:w="80" w:type="dxa"/>
              <w:start w:w="90" w:type="dxa"/>
              <w:bottom w:w="80" w:type="dxa"/>
              <w:end w:w="90" w:type="dxa"/>
            </w:tcMar>
            <w:shd w:fill="1F4E78"/>
          </w:tcPr>
          <w:p>
            <w:pPr>
              <w:spacing w:after="40"/>
            </w:pPr>
            <w:r>
              <w:rPr>
                <w:b/>
                <w:sz w:val="17"/>
              </w:rPr>
              <w:t>Success measure</w:t>
            </w:r>
          </w:p>
        </w:tc>
      </w:tr>
      <w:tr>
        <w:tc>
          <w:tcPr>
            <w:tcW w:type="dxa" w:w="1656"/>
            <w:vAlign w:val="center"/>
            <w:tcMar>
              <w:top w:w="80" w:type="dxa"/>
              <w:start w:w="90" w:type="dxa"/>
              <w:bottom w:w="80" w:type="dxa"/>
              <w:end w:w="90" w:type="dxa"/>
            </w:tcMar>
          </w:tcPr>
          <w:p>
            <w:pPr>
              <w:spacing w:after="40"/>
            </w:pPr>
            <w:r>
              <w:rPr>
                <w:sz w:val="17"/>
              </w:rPr>
              <w:t>Optimization</w:t>
            </w:r>
          </w:p>
        </w:tc>
        <w:tc>
          <w:tcPr>
            <w:tcW w:type="dxa" w:w="3384"/>
            <w:vAlign w:val="center"/>
            <w:tcMar>
              <w:top w:w="80" w:type="dxa"/>
              <w:start w:w="90" w:type="dxa"/>
              <w:bottom w:w="80" w:type="dxa"/>
              <w:end w:w="90" w:type="dxa"/>
            </w:tcMar>
          </w:tcPr>
          <w:p>
            <w:pPr>
              <w:spacing w:after="40"/>
            </w:pPr>
            <w:r>
              <w:rPr>
                <w:sz w:val="17"/>
              </w:rPr>
              <w:t>How can an accepted system perform better?</w:t>
            </w:r>
          </w:p>
        </w:tc>
        <w:tc>
          <w:tcPr>
            <w:tcW w:type="dxa" w:w="3744"/>
            <w:vAlign w:val="center"/>
            <w:tcMar>
              <w:top w:w="80" w:type="dxa"/>
              <w:start w:w="90" w:type="dxa"/>
              <w:bottom w:w="80" w:type="dxa"/>
              <w:end w:w="90" w:type="dxa"/>
            </w:tcMar>
          </w:tcPr>
          <w:p>
            <w:pPr>
              <w:spacing w:after="40"/>
            </w:pPr>
            <w:r>
              <w:rPr>
                <w:sz w:val="17"/>
              </w:rPr>
              <w:t>Parameter/configuration search inside validated model space.</w:t>
            </w:r>
          </w:p>
        </w:tc>
        <w:tc>
          <w:tcPr>
            <w:tcW w:type="dxa" w:w="1440"/>
            <w:vAlign w:val="center"/>
            <w:tcMar>
              <w:top w:w="80" w:type="dxa"/>
              <w:start w:w="90" w:type="dxa"/>
              <w:bottom w:w="80" w:type="dxa"/>
              <w:end w:w="90" w:type="dxa"/>
            </w:tcMar>
          </w:tcPr>
          <w:p>
            <w:pPr>
              <w:spacing w:after="40"/>
            </w:pPr>
            <w:r>
              <w:rPr>
                <w:sz w:val="17"/>
              </w:rPr>
              <w:t>Performance/cost/resource improvement.</w:t>
            </w:r>
          </w:p>
        </w:tc>
      </w:tr>
      <w:tr>
        <w:tc>
          <w:tcPr>
            <w:tcW w:type="dxa" w:w="1656"/>
            <w:vAlign w:val="center"/>
            <w:tcMar>
              <w:top w:w="80" w:type="dxa"/>
              <w:start w:w="90" w:type="dxa"/>
              <w:bottom w:w="80" w:type="dxa"/>
              <w:end w:w="90" w:type="dxa"/>
            </w:tcMar>
          </w:tcPr>
          <w:p>
            <w:pPr>
              <w:spacing w:after="40"/>
            </w:pPr>
            <w:r>
              <w:rPr>
                <w:sz w:val="17"/>
              </w:rPr>
              <w:t>Discovery</w:t>
            </w:r>
          </w:p>
        </w:tc>
        <w:tc>
          <w:tcPr>
            <w:tcW w:type="dxa" w:w="3384"/>
            <w:vAlign w:val="center"/>
            <w:tcMar>
              <w:top w:w="80" w:type="dxa"/>
              <w:start w:w="90" w:type="dxa"/>
              <w:bottom w:w="80" w:type="dxa"/>
              <w:end w:w="90" w:type="dxa"/>
            </w:tcMar>
          </w:tcPr>
          <w:p>
            <w:pPr>
              <w:spacing w:after="40"/>
            </w:pPr>
            <w:r>
              <w:rPr>
                <w:sz w:val="17"/>
              </w:rPr>
              <w:t>Is the model space itself incomplete?</w:t>
            </w:r>
          </w:p>
        </w:tc>
        <w:tc>
          <w:tcPr>
            <w:tcW w:type="dxa" w:w="3744"/>
            <w:vAlign w:val="center"/>
            <w:tcMar>
              <w:top w:w="80" w:type="dxa"/>
              <w:start w:w="90" w:type="dxa"/>
              <w:bottom w:w="80" w:type="dxa"/>
              <w:end w:w="90" w:type="dxa"/>
            </w:tcMar>
          </w:tcPr>
          <w:p>
            <w:pPr>
              <w:spacing w:after="40"/>
            </w:pPr>
            <w:r>
              <w:rPr>
                <w:sz w:val="17"/>
              </w:rPr>
              <w:t>Model-structure, variable, symmetry, invariant and hypothesis search.</w:t>
            </w:r>
          </w:p>
        </w:tc>
        <w:tc>
          <w:tcPr>
            <w:tcW w:type="dxa" w:w="1440"/>
            <w:vAlign w:val="center"/>
            <w:tcMar>
              <w:top w:w="80" w:type="dxa"/>
              <w:start w:w="90" w:type="dxa"/>
              <w:bottom w:w="80" w:type="dxa"/>
              <w:end w:w="90" w:type="dxa"/>
            </w:tcMar>
          </w:tcPr>
          <w:p>
            <w:pPr>
              <w:spacing w:after="40"/>
            </w:pPr>
            <w:r>
              <w:rPr>
                <w:sz w:val="17"/>
              </w:rPr>
              <w:t>New testable structure/prediction that survives validation.</w:t>
            </w:r>
          </w:p>
        </w:tc>
      </w:tr>
    </w:tbl>
    <w:p>
      <w:pPr>
        <w:pStyle w:val="Heading1"/>
      </w:pPr>
      <w:r>
        <w:t>15. Portfolio-Level Scientific Resource Allocation</w:t>
      </w:r>
    </w:p>
    <w:p>
      <w:pPr>
        <w:spacing w:before="80" w:after="80"/>
        <w:jc w:val="center"/>
      </w:pPr>
      <w:r>
        <w:rPr>
          <w:b/>
          <w:sz w:val="22"/>
        </w:rPr>
        <w:t>max IG(π)  subject to  R(π) ≤ R_budget</w:t>
      </w:r>
    </w:p>
    <w:p>
      <w:r>
        <w:t>Resource state R shall include energy/exergy, compute hours, storage, laboratory time, materials, staff time, financial budget and risk capacity.</w:t>
      </w:r>
    </w:p>
    <w:p>
      <w:pPr>
        <w:pStyle w:val="ListBullet"/>
        <w:spacing w:after="40"/>
      </w:pPr>
      <w:r>
        <w:t>Evaluate portfolios, not only individual experiments.</w:t>
      </w:r>
    </w:p>
    <w:p>
      <w:pPr>
        <w:pStyle w:val="ListBullet"/>
        <w:spacing w:after="40"/>
      </w:pPr>
      <w:r>
        <w:t>Balance exploratory high-uncertainty work against lower-risk engineering validation.</w:t>
      </w:r>
    </w:p>
    <w:p>
      <w:pPr>
        <w:pStyle w:val="ListBullet"/>
        <w:spacing w:after="40"/>
      </w:pPr>
      <w:r>
        <w:t>Use actual resource telemetry to recalibrate forecast models.</w:t>
      </w:r>
    </w:p>
    <w:p>
      <w:pPr>
        <w:pStyle w:val="Heading1"/>
      </w:pPr>
      <w:r>
        <w:t>16. Compute, Thermal, Water and Facility Constraints</w:t>
      </w:r>
    </w:p>
    <w:p>
      <w:pPr>
        <w:pStyle w:val="ListBullet"/>
        <w:spacing w:after="40"/>
      </w:pPr>
      <w:r>
        <w:t>Measure compute energy where hardware telemetry permits: E_compute = integral P_hardware(t) dt.</w:t>
      </w:r>
    </w:p>
    <w:p>
      <w:pPr>
        <w:pStyle w:val="ListBullet"/>
        <w:spacing w:after="40"/>
      </w:pPr>
      <w:r>
        <w:t>Track CPU/GPU utilization, memory pressure, cooling overhead where measurable, storage and network workloads where material.</w:t>
      </w:r>
    </w:p>
    <w:p>
      <w:pPr>
        <w:pStyle w:val="ListBullet"/>
        <w:spacing w:after="40"/>
      </w:pPr>
      <w:r>
        <w:t>Model facility power and thermal capacity as constraints for large experiments or training runs.</w:t>
      </w:r>
    </w:p>
    <w:p>
      <w:pPr>
        <w:pStyle w:val="ListBullet"/>
        <w:spacing w:after="40"/>
      </w:pPr>
      <w:r>
        <w:t>Track water/cooling resource where it materially affects system economics or environmental feasibility.</w:t>
      </w:r>
    </w:p>
    <w:p>
      <w:pPr>
        <w:pStyle w:val="Heading1"/>
      </w:pPr>
      <w:r>
        <w:t>17. Supply-Chain &amp; Manufacturability Intelligence</w:t>
      </w:r>
    </w:p>
    <w:p>
      <w:pPr>
        <w:spacing w:before="80" w:after="80"/>
        <w:jc w:val="center"/>
      </w:pPr>
      <w:r>
        <w:rPr>
          <w:b/>
          <w:sz w:val="22"/>
        </w:rPr>
        <w:t>design → material → supplier → fabrication → qualification → field performance</w:t>
      </w:r>
    </w:p>
    <w:p>
      <w:pPr>
        <w:pStyle w:val="ListBullet"/>
        <w:spacing w:after="40"/>
      </w:pPr>
      <w:r>
        <w:t>Link proposed materials and components to availability, purity, tolerances, lead time and substitution options.</w:t>
      </w:r>
    </w:p>
    <w:p>
      <w:pPr>
        <w:pStyle w:val="ListBullet"/>
        <w:spacing w:after="40"/>
      </w:pPr>
      <w:r>
        <w:t>Record whether an engineering design requires unavailable or unqualified materials.</w:t>
      </w:r>
    </w:p>
    <w:p>
      <w:pPr>
        <w:pStyle w:val="ListBullet"/>
        <w:spacing w:after="40"/>
      </w:pPr>
      <w:r>
        <w:t>Include supply risk in engineering promotion decisions.</w:t>
      </w:r>
    </w:p>
    <w:p>
      <w:pPr>
        <w:pStyle w:val="Heading1"/>
      </w:pPr>
      <w:r>
        <w:t>18. Scientific AI Security &amp; Data Integrity</w:t>
      </w:r>
    </w:p>
    <w:p>
      <w:pPr>
        <w:pStyle w:val="ListBullet"/>
        <w:spacing w:after="40"/>
      </w:pPr>
      <w:r>
        <w:t>Defend against data poisoning, model poisoning, malicious scientific documents, prompt/tool injection and compromised dependencies.</w:t>
      </w:r>
    </w:p>
    <w:p>
      <w:pPr>
        <w:pStyle w:val="ListBullet"/>
        <w:spacing w:after="40"/>
      </w:pPr>
      <w:r>
        <w:t>Isolate research, validation and physical-control environments.</w:t>
      </w:r>
    </w:p>
    <w:p>
      <w:pPr>
        <w:pStyle w:val="ListBullet"/>
        <w:spacing w:after="40"/>
      </w:pPr>
      <w:r>
        <w:t>Require signed or content-addressed scientific artifacts and authenticated promotion actions.</w:t>
      </w:r>
    </w:p>
    <w:p>
      <w:pPr>
        <w:pStyle w:val="ListBullet"/>
        <w:spacing w:after="40"/>
      </w:pPr>
      <w:r>
        <w:t>Treat external LLM output and imported scientific content as untrusted until verified.</w:t>
      </w:r>
    </w:p>
    <w:p>
      <w:pPr>
        <w:pStyle w:val="Heading1"/>
      </w:pPr>
      <w:r>
        <w:t>19. Human Cognitive-Bias Controls</w:t>
      </w:r>
    </w:p>
    <w:p>
      <w:pPr>
        <w:pStyle w:val="ListBullet"/>
        <w:spacing w:after="40"/>
      </w:pPr>
      <w:r>
        <w:t>Support blinded evaluation, preregistration, frozen analysis sets and independent challenge.</w:t>
      </w:r>
    </w:p>
    <w:p>
      <w:pPr>
        <w:pStyle w:val="ListBullet"/>
        <w:spacing w:after="40"/>
      </w:pPr>
      <w:r>
        <w:t>Present competing explanations and evidence gaps side by side.</w:t>
      </w:r>
    </w:p>
    <w:p>
      <w:pPr>
        <w:pStyle w:val="ListBullet"/>
        <w:spacing w:after="40"/>
      </w:pPr>
      <w:r>
        <w:t>Make rejected hypotheses visible to reviewers.</w:t>
      </w:r>
    </w:p>
    <w:p>
      <w:pPr>
        <w:pStyle w:val="ListBullet"/>
        <w:spacing w:after="40"/>
      </w:pPr>
      <w:r>
        <w:t>Avoid UI patterns that imply a single winner when evidence is genuinely ambiguous.</w:t>
      </w:r>
    </w:p>
    <w:p>
      <w:pPr>
        <w:pStyle w:val="Heading1"/>
      </w:pPr>
      <w:r>
        <w:t>20. Knowledge Validity &amp; Revalidation</w:t>
      </w:r>
    </w:p>
    <w:p>
      <w:pPr>
        <w:pStyle w:val="ListBullet"/>
        <w:spacing w:after="40"/>
      </w:pPr>
      <w:r>
        <w:t>Claims, models, data sources and benchmark baselines shall have validity state and review triggers.</w:t>
      </w:r>
    </w:p>
    <w:p>
      <w:pPr>
        <w:pStyle w:val="ListBullet"/>
        <w:spacing w:after="40"/>
      </w:pPr>
      <w:r>
        <w:t>Revalidation shall occur when upstream assumptions, datasets, instruments or dependencies change materially.</w:t>
      </w:r>
    </w:p>
    <w:p>
      <w:pPr>
        <w:pStyle w:val="ListBullet"/>
        <w:spacing w:after="40"/>
      </w:pPr>
      <w:r>
        <w:t>Superseded knowledge remains preserved for provenance but is marked retired or invalidated.</w:t>
      </w:r>
    </w:p>
    <w:p>
      <w:pPr>
        <w:pStyle w:val="Heading1"/>
      </w:pPr>
      <w:r>
        <w:t>21. Standards &amp; Compliance Mapping</w:t>
      </w:r>
    </w:p>
    <w:p>
      <w:r>
        <w:t>The program shall maintain a requirements-to-standard matrix as deployment matures. The exact standard set shall be selected by the applicable laboratory, jurisdiction and product context rather than assumed at architecture stage.</w:t>
      </w:r>
    </w:p>
    <w:tbl>
      <w:tblPr>
        <w:tblStyle w:val="TableGrid"/>
        <w:tblW w:type="auto" w:w="0"/>
        <w:jc w:val="center"/>
        <w:tblLook w:firstColumn="1" w:firstRow="1" w:lastColumn="0" w:lastRow="0" w:noHBand="0" w:noVBand="1" w:val="04A0"/>
      </w:tblPr>
      <w:tblGrid>
        <w:gridCol w:w="4997"/>
        <w:gridCol w:w="4997"/>
      </w:tblGrid>
      <w:tr>
        <w:trPr>
          <w:tblHeader w:val="true"/>
          <w:tblHeader w:val="true"/>
        </w:trPr>
        <w:tc>
          <w:tcPr>
            <w:tcW w:type="dxa" w:w="2016"/>
            <w:vAlign w:val="center"/>
            <w:tcMar>
              <w:top w:w="80" w:type="dxa"/>
              <w:start w:w="90" w:type="dxa"/>
              <w:bottom w:w="80" w:type="dxa"/>
              <w:end w:w="90" w:type="dxa"/>
            </w:tcMar>
            <w:shd w:fill="1F4E78"/>
          </w:tcPr>
          <w:p>
            <w:pPr>
              <w:spacing w:after="40"/>
            </w:pPr>
            <w:r>
              <w:rPr>
                <w:b/>
                <w:sz w:val="17"/>
              </w:rPr>
              <w:t>Domain</w:t>
            </w:r>
          </w:p>
        </w:tc>
        <w:tc>
          <w:tcPr>
            <w:tcW w:type="dxa" w:w="7776"/>
            <w:vAlign w:val="center"/>
            <w:tcMar>
              <w:top w:w="80" w:type="dxa"/>
              <w:start w:w="90" w:type="dxa"/>
              <w:bottom w:w="80" w:type="dxa"/>
              <w:end w:w="90" w:type="dxa"/>
            </w:tcMar>
            <w:shd w:fill="1F4E78"/>
          </w:tcPr>
          <w:p>
            <w:pPr>
              <w:spacing w:after="40"/>
            </w:pPr>
            <w:r>
              <w:rPr>
                <w:b/>
                <w:sz w:val="17"/>
              </w:rPr>
              <w:t>Mapping objective</w:t>
            </w:r>
          </w:p>
        </w:tc>
      </w:tr>
      <w:tr>
        <w:tc>
          <w:tcPr>
            <w:tcW w:type="dxa" w:w="2016"/>
            <w:vAlign w:val="center"/>
            <w:tcMar>
              <w:top w:w="80" w:type="dxa"/>
              <w:start w:w="90" w:type="dxa"/>
              <w:bottom w:w="80" w:type="dxa"/>
              <w:end w:w="90" w:type="dxa"/>
            </w:tcMar>
          </w:tcPr>
          <w:p>
            <w:pPr>
              <w:spacing w:after="40"/>
            </w:pPr>
            <w:r>
              <w:rPr>
                <w:sz w:val="17"/>
              </w:rPr>
              <w:t>Measurement</w:t>
            </w:r>
          </w:p>
        </w:tc>
        <w:tc>
          <w:tcPr>
            <w:tcW w:type="dxa" w:w="7776"/>
            <w:vAlign w:val="center"/>
            <w:tcMar>
              <w:top w:w="80" w:type="dxa"/>
              <w:start w:w="90" w:type="dxa"/>
              <w:bottom w:w="80" w:type="dxa"/>
              <w:end w:w="90" w:type="dxa"/>
            </w:tcMar>
          </w:tcPr>
          <w:p>
            <w:pPr>
              <w:spacing w:after="40"/>
            </w:pPr>
            <w:r>
              <w:rPr>
                <w:sz w:val="17"/>
              </w:rPr>
              <w:t>Metrology, calibration, uncertainty and traceability practices.</w:t>
            </w:r>
          </w:p>
        </w:tc>
      </w:tr>
      <w:tr>
        <w:tc>
          <w:tcPr>
            <w:tcW w:type="dxa" w:w="2016"/>
            <w:vAlign w:val="center"/>
            <w:tcMar>
              <w:top w:w="80" w:type="dxa"/>
              <w:start w:w="90" w:type="dxa"/>
              <w:bottom w:w="80" w:type="dxa"/>
              <w:end w:w="90" w:type="dxa"/>
            </w:tcMar>
          </w:tcPr>
          <w:p>
            <w:pPr>
              <w:spacing w:after="40"/>
            </w:pPr>
            <w:r>
              <w:rPr>
                <w:sz w:val="17"/>
              </w:rPr>
              <w:t>Laboratory</w:t>
            </w:r>
          </w:p>
        </w:tc>
        <w:tc>
          <w:tcPr>
            <w:tcW w:type="dxa" w:w="7776"/>
            <w:vAlign w:val="center"/>
            <w:tcMar>
              <w:top w:w="80" w:type="dxa"/>
              <w:start w:w="90" w:type="dxa"/>
              <w:bottom w:w="80" w:type="dxa"/>
              <w:end w:w="90" w:type="dxa"/>
            </w:tcMar>
          </w:tcPr>
          <w:p>
            <w:pPr>
              <w:spacing w:after="40"/>
            </w:pPr>
            <w:r>
              <w:rPr>
                <w:sz w:val="17"/>
              </w:rPr>
              <w:t>Quality, safety, environmental and equipment-control requirements.</w:t>
            </w:r>
          </w:p>
        </w:tc>
      </w:tr>
      <w:tr>
        <w:tc>
          <w:tcPr>
            <w:tcW w:type="dxa" w:w="2016"/>
            <w:vAlign w:val="center"/>
            <w:tcMar>
              <w:top w:w="80" w:type="dxa"/>
              <w:start w:w="90" w:type="dxa"/>
              <w:bottom w:w="80" w:type="dxa"/>
              <w:end w:w="90" w:type="dxa"/>
            </w:tcMar>
          </w:tcPr>
          <w:p>
            <w:pPr>
              <w:spacing w:after="40"/>
            </w:pPr>
            <w:r>
              <w:rPr>
                <w:sz w:val="17"/>
              </w:rPr>
              <w:t>Software</w:t>
            </w:r>
          </w:p>
        </w:tc>
        <w:tc>
          <w:tcPr>
            <w:tcW w:type="dxa" w:w="7776"/>
            <w:vAlign w:val="center"/>
            <w:tcMar>
              <w:top w:w="80" w:type="dxa"/>
              <w:start w:w="90" w:type="dxa"/>
              <w:bottom w:w="80" w:type="dxa"/>
              <w:end w:w="90" w:type="dxa"/>
            </w:tcMar>
          </w:tcPr>
          <w:p>
            <w:pPr>
              <w:spacing w:after="40"/>
            </w:pPr>
            <w:r>
              <w:rPr>
                <w:sz w:val="17"/>
              </w:rPr>
              <w:t>Software lifecycle, verification, change control and reproducibility.</w:t>
            </w:r>
          </w:p>
        </w:tc>
      </w:tr>
      <w:tr>
        <w:tc>
          <w:tcPr>
            <w:tcW w:type="dxa" w:w="2016"/>
            <w:vAlign w:val="center"/>
            <w:tcMar>
              <w:top w:w="80" w:type="dxa"/>
              <w:start w:w="90" w:type="dxa"/>
              <w:bottom w:w="80" w:type="dxa"/>
              <w:end w:w="90" w:type="dxa"/>
            </w:tcMar>
          </w:tcPr>
          <w:p>
            <w:pPr>
              <w:spacing w:after="40"/>
            </w:pPr>
            <w:r>
              <w:rPr>
                <w:sz w:val="17"/>
              </w:rPr>
              <w:t>Security</w:t>
            </w:r>
          </w:p>
        </w:tc>
        <w:tc>
          <w:tcPr>
            <w:tcW w:type="dxa" w:w="7776"/>
            <w:vAlign w:val="center"/>
            <w:tcMar>
              <w:top w:w="80" w:type="dxa"/>
              <w:start w:w="90" w:type="dxa"/>
              <w:bottom w:w="80" w:type="dxa"/>
              <w:end w:w="90" w:type="dxa"/>
            </w:tcMar>
          </w:tcPr>
          <w:p>
            <w:pPr>
              <w:spacing w:after="40"/>
            </w:pPr>
            <w:r>
              <w:rPr>
                <w:sz w:val="17"/>
              </w:rPr>
              <w:t>Information security, identity, supply-chain and secure AI controls.</w:t>
            </w:r>
          </w:p>
        </w:tc>
      </w:tr>
      <w:tr>
        <w:tc>
          <w:tcPr>
            <w:tcW w:type="dxa" w:w="2016"/>
            <w:vAlign w:val="center"/>
            <w:tcMar>
              <w:top w:w="80" w:type="dxa"/>
              <w:start w:w="90" w:type="dxa"/>
              <w:bottom w:w="80" w:type="dxa"/>
              <w:end w:w="90" w:type="dxa"/>
            </w:tcMar>
          </w:tcPr>
          <w:p>
            <w:pPr>
              <w:spacing w:after="40"/>
            </w:pPr>
            <w:r>
              <w:rPr>
                <w:sz w:val="17"/>
              </w:rPr>
              <w:t>AI governance</w:t>
            </w:r>
          </w:p>
        </w:tc>
        <w:tc>
          <w:tcPr>
            <w:tcW w:type="dxa" w:w="7776"/>
            <w:vAlign w:val="center"/>
            <w:tcMar>
              <w:top w:w="80" w:type="dxa"/>
              <w:start w:w="90" w:type="dxa"/>
              <w:bottom w:w="80" w:type="dxa"/>
              <w:end w:w="90" w:type="dxa"/>
            </w:tcMar>
          </w:tcPr>
          <w:p>
            <w:pPr>
              <w:spacing w:after="40"/>
            </w:pPr>
            <w:r>
              <w:rPr>
                <w:sz w:val="17"/>
              </w:rPr>
              <w:t>Model risk, transparency, human oversight and incident handling.</w:t>
            </w:r>
          </w:p>
        </w:tc>
      </w:tr>
      <w:tr>
        <w:tc>
          <w:tcPr>
            <w:tcW w:type="dxa" w:w="2016"/>
            <w:vAlign w:val="center"/>
            <w:tcMar>
              <w:top w:w="80" w:type="dxa"/>
              <w:start w:w="90" w:type="dxa"/>
              <w:bottom w:w="80" w:type="dxa"/>
              <w:end w:w="90" w:type="dxa"/>
            </w:tcMar>
          </w:tcPr>
          <w:p>
            <w:pPr>
              <w:spacing w:after="40"/>
            </w:pPr>
            <w:r>
              <w:rPr>
                <w:sz w:val="17"/>
              </w:rPr>
              <w:t>Functional safety</w:t>
            </w:r>
          </w:p>
        </w:tc>
        <w:tc>
          <w:tcPr>
            <w:tcW w:type="dxa" w:w="7776"/>
            <w:vAlign w:val="center"/>
            <w:tcMar>
              <w:top w:w="80" w:type="dxa"/>
              <w:start w:w="90" w:type="dxa"/>
              <w:bottom w:w="80" w:type="dxa"/>
              <w:end w:w="90" w:type="dxa"/>
            </w:tcMar>
          </w:tcPr>
          <w:p>
            <w:pPr>
              <w:spacing w:after="40"/>
            </w:pPr>
            <w:r>
              <w:rPr>
                <w:sz w:val="17"/>
              </w:rPr>
              <w:t>Independent safety functions for physical actuation where applicable.</w:t>
            </w:r>
          </w:p>
        </w:tc>
      </w:tr>
    </w:tbl>
    <w:p>
      <w:pPr>
        <w:pStyle w:val="Heading1"/>
      </w:pPr>
      <w:r>
        <w:t>22. Consolidated Priority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blHeader w:val="true"/>
          <w:tblHeader w:val="true"/>
        </w:trPr>
        <w:tc>
          <w:tcPr>
            <w:tcW w:type="dxa" w:w="1008"/>
            <w:vAlign w:val="center"/>
            <w:tcMar>
              <w:top w:w="80" w:type="dxa"/>
              <w:start w:w="90" w:type="dxa"/>
              <w:bottom w:w="80" w:type="dxa"/>
              <w:end w:w="90" w:type="dxa"/>
            </w:tcMar>
            <w:shd w:fill="1F4E78"/>
          </w:tcPr>
          <w:p>
            <w:pPr>
              <w:spacing w:after="40"/>
            </w:pPr>
            <w:r>
              <w:rPr>
                <w:b/>
                <w:sz w:val="17"/>
              </w:rPr>
              <w:t>Priority</w:t>
            </w:r>
          </w:p>
        </w:tc>
        <w:tc>
          <w:tcPr>
            <w:tcW w:type="dxa" w:w="3600"/>
            <w:vAlign w:val="center"/>
            <w:tcMar>
              <w:top w:w="80" w:type="dxa"/>
              <w:start w:w="90" w:type="dxa"/>
              <w:bottom w:w="80" w:type="dxa"/>
              <w:end w:w="90" w:type="dxa"/>
            </w:tcMar>
            <w:shd w:fill="1F4E78"/>
          </w:tcPr>
          <w:p>
            <w:pPr>
              <w:spacing w:after="40"/>
            </w:pPr>
            <w:r>
              <w:rPr>
                <w:b/>
                <w:sz w:val="17"/>
              </w:rPr>
              <w:t>Capability</w:t>
            </w:r>
          </w:p>
        </w:tc>
        <w:tc>
          <w:tcPr>
            <w:tcW w:type="dxa" w:w="5184"/>
            <w:vAlign w:val="center"/>
            <w:tcMar>
              <w:top w:w="80" w:type="dxa"/>
              <w:start w:w="90" w:type="dxa"/>
              <w:bottom w:w="80" w:type="dxa"/>
              <w:end w:w="90" w:type="dxa"/>
            </w:tcMar>
            <w:shd w:fill="1F4E78"/>
          </w:tcPr>
          <w:p>
            <w:pPr>
              <w:spacing w:after="40"/>
            </w:pPr>
            <w:r>
              <w:rPr>
                <w:b/>
                <w:sz w:val="17"/>
              </w:rPr>
              <w:t>Reason</w:t>
            </w:r>
          </w:p>
        </w:tc>
      </w:tr>
      <w:tr>
        <w:tc>
          <w:tcPr>
            <w:tcW w:type="dxa" w:w="1008"/>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Metrology and measurand definition</w:t>
            </w:r>
          </w:p>
        </w:tc>
        <w:tc>
          <w:tcPr>
            <w:tcW w:type="dxa" w:w="5184"/>
            <w:vAlign w:val="center"/>
            <w:tcMar>
              <w:top w:w="80" w:type="dxa"/>
              <w:start w:w="90" w:type="dxa"/>
              <w:bottom w:w="80" w:type="dxa"/>
              <w:end w:w="90" w:type="dxa"/>
            </w:tcMar>
          </w:tcPr>
          <w:p>
            <w:pPr>
              <w:spacing w:after="40"/>
            </w:pPr>
            <w:r>
              <w:rPr>
                <w:sz w:val="17"/>
              </w:rPr>
              <w:t>Prevent measuring-the-wrong-thing failures.</w:t>
            </w:r>
          </w:p>
        </w:tc>
      </w:tr>
      <w:tr>
        <w:tc>
          <w:tcPr>
            <w:tcW w:type="dxa" w:w="1008"/>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Identifiability and observability</w:t>
            </w:r>
          </w:p>
        </w:tc>
        <w:tc>
          <w:tcPr>
            <w:tcW w:type="dxa" w:w="5184"/>
            <w:vAlign w:val="center"/>
            <w:tcMar>
              <w:top w:w="80" w:type="dxa"/>
              <w:start w:w="90" w:type="dxa"/>
              <w:bottom w:w="80" w:type="dxa"/>
              <w:end w:w="90" w:type="dxa"/>
            </w:tcMar>
          </w:tcPr>
          <w:p>
            <w:pPr>
              <w:spacing w:after="40"/>
            </w:pPr>
            <w:r>
              <w:rPr>
                <w:sz w:val="17"/>
              </w:rPr>
              <w:t>Prevent overinterpreting non-identifiable parameters/hypotheses.</w:t>
            </w:r>
          </w:p>
        </w:tc>
      </w:tr>
      <w:tr>
        <w:tc>
          <w:tcPr>
            <w:tcW w:type="dxa" w:w="1008"/>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Multiple-testing/discovery statistics</w:t>
            </w:r>
          </w:p>
        </w:tc>
        <w:tc>
          <w:tcPr>
            <w:tcW w:type="dxa" w:w="5184"/>
            <w:vAlign w:val="center"/>
            <w:tcMar>
              <w:top w:w="80" w:type="dxa"/>
              <w:start w:w="90" w:type="dxa"/>
              <w:bottom w:w="80" w:type="dxa"/>
              <w:end w:w="90" w:type="dxa"/>
            </w:tcMar>
          </w:tcPr>
          <w:p>
            <w:pPr>
              <w:spacing w:after="40"/>
            </w:pPr>
            <w:r>
              <w:rPr>
                <w:sz w:val="17"/>
              </w:rPr>
              <w:t>Control false discoveries in large search spaces.</w:t>
            </w:r>
          </w:p>
        </w:tc>
      </w:tr>
      <w:tr>
        <w:tc>
          <w:tcPr>
            <w:tcW w:type="dxa" w:w="1008"/>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Search-space coverage accounting</w:t>
            </w:r>
          </w:p>
        </w:tc>
        <w:tc>
          <w:tcPr>
            <w:tcW w:type="dxa" w:w="5184"/>
            <w:vAlign w:val="center"/>
            <w:tcMar>
              <w:top w:w="80" w:type="dxa"/>
              <w:start w:w="90" w:type="dxa"/>
              <w:bottom w:w="80" w:type="dxa"/>
              <w:end w:w="90" w:type="dxa"/>
            </w:tcMar>
          </w:tcPr>
          <w:p>
            <w:pPr>
              <w:spacing w:after="40"/>
            </w:pPr>
            <w:r>
              <w:rPr>
                <w:sz w:val="17"/>
              </w:rPr>
              <w:t>Prevent unsupported claims about what has been excluded.</w:t>
            </w:r>
          </w:p>
        </w:tc>
      </w:tr>
      <w:tr>
        <w:tc>
          <w:tcPr>
            <w:tcW w:type="dxa" w:w="1008"/>
            <w:vAlign w:val="center"/>
            <w:tcMar>
              <w:top w:w="80" w:type="dxa"/>
              <w:start w:w="90" w:type="dxa"/>
              <w:bottom w:w="80" w:type="dxa"/>
              <w:end w:w="90" w:type="dxa"/>
            </w:tcMar>
          </w:tcPr>
          <w:p>
            <w:pPr>
              <w:spacing w:after="40"/>
            </w:pPr>
            <w:r>
              <w:rPr>
                <w:sz w:val="17"/>
              </w:rPr>
              <w:t>P0</w:t>
            </w:r>
          </w:p>
        </w:tc>
        <w:tc>
          <w:tcPr>
            <w:tcW w:type="dxa" w:w="3600"/>
            <w:vAlign w:val="center"/>
            <w:tcMar>
              <w:top w:w="80" w:type="dxa"/>
              <w:start w:w="90" w:type="dxa"/>
              <w:bottom w:w="80" w:type="dxa"/>
              <w:end w:w="90" w:type="dxa"/>
            </w:tcMar>
          </w:tcPr>
          <w:p>
            <w:pPr>
              <w:spacing w:after="40"/>
            </w:pPr>
            <w:r>
              <w:rPr>
                <w:sz w:val="17"/>
              </w:rPr>
              <w:t>Model discrepancy</w:t>
            </w:r>
          </w:p>
        </w:tc>
        <w:tc>
          <w:tcPr>
            <w:tcW w:type="dxa" w:w="5184"/>
            <w:vAlign w:val="center"/>
            <w:tcMar>
              <w:top w:w="80" w:type="dxa"/>
              <w:start w:w="90" w:type="dxa"/>
              <w:bottom w:w="80" w:type="dxa"/>
              <w:end w:w="90" w:type="dxa"/>
            </w:tcMar>
          </w:tcPr>
          <w:p>
            <w:pPr>
              <w:spacing w:after="40"/>
            </w:pPr>
            <w:r>
              <w:rPr>
                <w:sz w:val="17"/>
              </w:rPr>
              <w:t>Separate model failure from sensor noise.</w:t>
            </w:r>
          </w:p>
        </w:tc>
      </w:tr>
      <w:tr>
        <w:tc>
          <w:tcPr>
            <w:tcW w:type="dxa" w:w="1008"/>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Independent measurement diversity</w:t>
            </w:r>
          </w:p>
        </w:tc>
        <w:tc>
          <w:tcPr>
            <w:tcW w:type="dxa" w:w="5184"/>
            <w:vAlign w:val="center"/>
            <w:tcMar>
              <w:top w:w="80" w:type="dxa"/>
              <w:start w:w="90" w:type="dxa"/>
              <w:bottom w:w="80" w:type="dxa"/>
              <w:end w:w="90" w:type="dxa"/>
            </w:tcMar>
          </w:tcPr>
          <w:p>
            <w:pPr>
              <w:spacing w:after="40"/>
            </w:pPr>
            <w:r>
              <w:rPr>
                <w:sz w:val="17"/>
              </w:rPr>
              <w:t>Strengthen confirmation quality.</w:t>
            </w:r>
          </w:p>
        </w:tc>
      </w:tr>
      <w:tr>
        <w:tc>
          <w:tcPr>
            <w:tcW w:type="dxa" w:w="1008"/>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Digital twins</w:t>
            </w:r>
          </w:p>
        </w:tc>
        <w:tc>
          <w:tcPr>
            <w:tcW w:type="dxa" w:w="5184"/>
            <w:vAlign w:val="center"/>
            <w:tcMar>
              <w:top w:w="80" w:type="dxa"/>
              <w:start w:w="90" w:type="dxa"/>
              <w:bottom w:w="80" w:type="dxa"/>
              <w:end w:w="90" w:type="dxa"/>
            </w:tcMar>
          </w:tcPr>
          <w:p>
            <w:pPr>
              <w:spacing w:after="40"/>
            </w:pPr>
            <w:r>
              <w:rPr>
                <w:sz w:val="17"/>
              </w:rPr>
              <w:t>Connect simulation to physical systems and environments.</w:t>
            </w:r>
          </w:p>
        </w:tc>
      </w:tr>
      <w:tr>
        <w:tc>
          <w:tcPr>
            <w:tcW w:type="dxa" w:w="1008"/>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Scale-bridging</w:t>
            </w:r>
          </w:p>
        </w:tc>
        <w:tc>
          <w:tcPr>
            <w:tcW w:type="dxa" w:w="5184"/>
            <w:vAlign w:val="center"/>
            <w:tcMar>
              <w:top w:w="80" w:type="dxa"/>
              <w:start w:w="90" w:type="dxa"/>
              <w:bottom w:w="80" w:type="dxa"/>
              <w:end w:w="90" w:type="dxa"/>
            </w:tcMar>
          </w:tcPr>
          <w:p>
            <w:pPr>
              <w:spacing w:after="40"/>
            </w:pPr>
            <w:r>
              <w:rPr>
                <w:sz w:val="17"/>
              </w:rPr>
              <w:t>Prevent invalid cross-domain transfers.</w:t>
            </w:r>
          </w:p>
        </w:tc>
      </w:tr>
      <w:tr>
        <w:tc>
          <w:tcPr>
            <w:tcW w:type="dxa" w:w="1008"/>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Symmetry/invariant/emergence discovery</w:t>
            </w:r>
          </w:p>
        </w:tc>
        <w:tc>
          <w:tcPr>
            <w:tcW w:type="dxa" w:w="5184"/>
            <w:vAlign w:val="center"/>
            <w:tcMar>
              <w:top w:w="80" w:type="dxa"/>
              <w:start w:w="90" w:type="dxa"/>
              <w:bottom w:w="80" w:type="dxa"/>
              <w:end w:w="90" w:type="dxa"/>
            </w:tcMar>
          </w:tcPr>
          <w:p>
            <w:pPr>
              <w:spacing w:after="40"/>
            </w:pPr>
            <w:r>
              <w:rPr>
                <w:sz w:val="17"/>
              </w:rPr>
              <w:t>Expand discovery beyond curve fitting.</w:t>
            </w:r>
          </w:p>
        </w:tc>
      </w:tr>
      <w:tr>
        <w:tc>
          <w:tcPr>
            <w:tcW w:type="dxa" w:w="1008"/>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Multi-fidelity simulation</w:t>
            </w:r>
          </w:p>
        </w:tc>
        <w:tc>
          <w:tcPr>
            <w:tcW w:type="dxa" w:w="5184"/>
            <w:vAlign w:val="center"/>
            <w:tcMar>
              <w:top w:w="80" w:type="dxa"/>
              <w:start w:w="90" w:type="dxa"/>
              <w:bottom w:w="80" w:type="dxa"/>
              <w:end w:w="90" w:type="dxa"/>
            </w:tcMar>
          </w:tcPr>
          <w:p>
            <w:pPr>
              <w:spacing w:after="40"/>
            </w:pPr>
            <w:r>
              <w:rPr>
                <w:sz w:val="17"/>
              </w:rPr>
              <w:t>Reduce cost without hiding approximation error.</w:t>
            </w:r>
          </w:p>
        </w:tc>
      </w:tr>
      <w:tr>
        <w:tc>
          <w:tcPr>
            <w:tcW w:type="dxa" w:w="1008"/>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Unknown-unknown protocol</w:t>
            </w:r>
          </w:p>
        </w:tc>
        <w:tc>
          <w:tcPr>
            <w:tcW w:type="dxa" w:w="5184"/>
            <w:vAlign w:val="center"/>
            <w:tcMar>
              <w:top w:w="80" w:type="dxa"/>
              <w:start w:w="90" w:type="dxa"/>
              <w:bottom w:w="80" w:type="dxa"/>
              <w:end w:w="90" w:type="dxa"/>
            </w:tcMar>
          </w:tcPr>
          <w:p>
            <w:pPr>
              <w:spacing w:after="40"/>
            </w:pPr>
            <w:r>
              <w:rPr>
                <w:sz w:val="17"/>
              </w:rPr>
              <w:t>Provide a disciplined unresolved state.</w:t>
            </w:r>
          </w:p>
        </w:tc>
      </w:tr>
      <w:tr>
        <w:tc>
          <w:tcPr>
            <w:tcW w:type="dxa" w:w="1008"/>
            <w:vAlign w:val="center"/>
            <w:tcMar>
              <w:top w:w="80" w:type="dxa"/>
              <w:start w:w="90" w:type="dxa"/>
              <w:bottom w:w="80" w:type="dxa"/>
              <w:end w:w="90" w:type="dxa"/>
            </w:tcMar>
          </w:tcPr>
          <w:p>
            <w:pPr>
              <w:spacing w:after="40"/>
            </w:pPr>
            <w:r>
              <w:rPr>
                <w:sz w:val="17"/>
              </w:rPr>
              <w:t>P1</w:t>
            </w:r>
          </w:p>
        </w:tc>
        <w:tc>
          <w:tcPr>
            <w:tcW w:type="dxa" w:w="3600"/>
            <w:vAlign w:val="center"/>
            <w:tcMar>
              <w:top w:w="80" w:type="dxa"/>
              <w:start w:w="90" w:type="dxa"/>
              <w:bottom w:w="80" w:type="dxa"/>
              <w:end w:w="90" w:type="dxa"/>
            </w:tcMar>
          </w:tcPr>
          <w:p>
            <w:pPr>
              <w:spacing w:after="40"/>
            </w:pPr>
            <w:r>
              <w:rPr>
                <w:sz w:val="17"/>
              </w:rPr>
              <w:t>Scientific AI security</w:t>
            </w:r>
          </w:p>
        </w:tc>
        <w:tc>
          <w:tcPr>
            <w:tcW w:type="dxa" w:w="5184"/>
            <w:vAlign w:val="center"/>
            <w:tcMar>
              <w:top w:w="80" w:type="dxa"/>
              <w:start w:w="90" w:type="dxa"/>
              <w:bottom w:w="80" w:type="dxa"/>
              <w:end w:w="90" w:type="dxa"/>
            </w:tcMar>
          </w:tcPr>
          <w:p>
            <w:pPr>
              <w:spacing w:after="40"/>
            </w:pPr>
            <w:r>
              <w:rPr>
                <w:sz w:val="17"/>
              </w:rPr>
              <w:t>Protect the discovery loop from poisoning and tool abuse.</w:t>
            </w:r>
          </w:p>
        </w:tc>
      </w:tr>
      <w:tr>
        <w:tc>
          <w:tcPr>
            <w:tcW w:type="dxa" w:w="1008"/>
            <w:vAlign w:val="center"/>
            <w:tcMar>
              <w:top w:w="80" w:type="dxa"/>
              <w:start w:w="90" w:type="dxa"/>
              <w:bottom w:w="80" w:type="dxa"/>
              <w:end w:w="90" w:type="dxa"/>
            </w:tcMar>
          </w:tcPr>
          <w:p>
            <w:pPr>
              <w:spacing w:after="40"/>
            </w:pPr>
            <w:r>
              <w:rPr>
                <w:sz w:val="17"/>
              </w:rPr>
              <w:t>P2</w:t>
            </w:r>
          </w:p>
        </w:tc>
        <w:tc>
          <w:tcPr>
            <w:tcW w:type="dxa" w:w="3600"/>
            <w:vAlign w:val="center"/>
            <w:tcMar>
              <w:top w:w="80" w:type="dxa"/>
              <w:start w:w="90" w:type="dxa"/>
              <w:bottom w:w="80" w:type="dxa"/>
              <w:end w:w="90" w:type="dxa"/>
            </w:tcMar>
          </w:tcPr>
          <w:p>
            <w:pPr>
              <w:spacing w:after="40"/>
            </w:pPr>
            <w:r>
              <w:rPr>
                <w:sz w:val="17"/>
              </w:rPr>
              <w:t>Portfolio resource optimization</w:t>
            </w:r>
          </w:p>
        </w:tc>
        <w:tc>
          <w:tcPr>
            <w:tcW w:type="dxa" w:w="5184"/>
            <w:vAlign w:val="center"/>
            <w:tcMar>
              <w:top w:w="80" w:type="dxa"/>
              <w:start w:w="90" w:type="dxa"/>
              <w:bottom w:w="80" w:type="dxa"/>
              <w:end w:w="90" w:type="dxa"/>
            </w:tcMar>
          </w:tcPr>
          <w:p>
            <w:pPr>
              <w:spacing w:after="40"/>
            </w:pPr>
            <w:r>
              <w:rPr>
                <w:sz w:val="17"/>
              </w:rPr>
              <w:t>Allocate limited research resources across competing opportunities.</w:t>
            </w:r>
          </w:p>
        </w:tc>
      </w:tr>
      <w:tr>
        <w:tc>
          <w:tcPr>
            <w:tcW w:type="dxa" w:w="1008"/>
            <w:vAlign w:val="center"/>
            <w:tcMar>
              <w:top w:w="80" w:type="dxa"/>
              <w:start w:w="90" w:type="dxa"/>
              <w:bottom w:w="80" w:type="dxa"/>
              <w:end w:w="90" w:type="dxa"/>
            </w:tcMar>
          </w:tcPr>
          <w:p>
            <w:pPr>
              <w:spacing w:after="40"/>
            </w:pPr>
            <w:r>
              <w:rPr>
                <w:sz w:val="17"/>
              </w:rPr>
              <w:t>P2</w:t>
            </w:r>
          </w:p>
        </w:tc>
        <w:tc>
          <w:tcPr>
            <w:tcW w:type="dxa" w:w="3600"/>
            <w:vAlign w:val="center"/>
            <w:tcMar>
              <w:top w:w="80" w:type="dxa"/>
              <w:start w:w="90" w:type="dxa"/>
              <w:bottom w:w="80" w:type="dxa"/>
              <w:end w:w="90" w:type="dxa"/>
            </w:tcMar>
          </w:tcPr>
          <w:p>
            <w:pPr>
              <w:spacing w:after="40"/>
            </w:pPr>
            <w:r>
              <w:rPr>
                <w:sz w:val="17"/>
              </w:rPr>
              <w:t>Manufacturability/supply-chain intelligence</w:t>
            </w:r>
          </w:p>
        </w:tc>
        <w:tc>
          <w:tcPr>
            <w:tcW w:type="dxa" w:w="5184"/>
            <w:vAlign w:val="center"/>
            <w:tcMar>
              <w:top w:w="80" w:type="dxa"/>
              <w:start w:w="90" w:type="dxa"/>
              <w:bottom w:w="80" w:type="dxa"/>
              <w:end w:w="90" w:type="dxa"/>
            </w:tcMar>
          </w:tcPr>
          <w:p>
            <w:pPr>
              <w:spacing w:after="40"/>
            </w:pPr>
            <w:r>
              <w:rPr>
                <w:sz w:val="17"/>
              </w:rPr>
              <w:t>Prevent non-deployable engineering discoveries.</w:t>
            </w:r>
          </w:p>
        </w:tc>
      </w:tr>
      <w:tr>
        <w:tc>
          <w:tcPr>
            <w:tcW w:type="dxa" w:w="1008"/>
            <w:vAlign w:val="center"/>
            <w:tcMar>
              <w:top w:w="80" w:type="dxa"/>
              <w:start w:w="90" w:type="dxa"/>
              <w:bottom w:w="80" w:type="dxa"/>
              <w:end w:w="90" w:type="dxa"/>
            </w:tcMar>
          </w:tcPr>
          <w:p>
            <w:pPr>
              <w:spacing w:after="40"/>
            </w:pPr>
            <w:r>
              <w:rPr>
                <w:sz w:val="17"/>
              </w:rPr>
              <w:t>P2</w:t>
            </w:r>
          </w:p>
        </w:tc>
        <w:tc>
          <w:tcPr>
            <w:tcW w:type="dxa" w:w="3600"/>
            <w:vAlign w:val="center"/>
            <w:tcMar>
              <w:top w:w="80" w:type="dxa"/>
              <w:start w:w="90" w:type="dxa"/>
              <w:bottom w:w="80" w:type="dxa"/>
              <w:end w:w="90" w:type="dxa"/>
            </w:tcMar>
          </w:tcPr>
          <w:p>
            <w:pPr>
              <w:spacing w:after="40"/>
            </w:pPr>
            <w:r>
              <w:rPr>
                <w:sz w:val="17"/>
              </w:rPr>
              <w:t>Knowledge revalidation</w:t>
            </w:r>
          </w:p>
        </w:tc>
        <w:tc>
          <w:tcPr>
            <w:tcW w:type="dxa" w:w="5184"/>
            <w:vAlign w:val="center"/>
            <w:tcMar>
              <w:top w:w="80" w:type="dxa"/>
              <w:start w:w="90" w:type="dxa"/>
              <w:bottom w:w="80" w:type="dxa"/>
              <w:end w:w="90" w:type="dxa"/>
            </w:tcMar>
          </w:tcPr>
          <w:p>
            <w:pPr>
              <w:spacing w:after="40"/>
            </w:pPr>
            <w:r>
              <w:rPr>
                <w:sz w:val="17"/>
              </w:rPr>
              <w:t>Keep the scientific graph current over time.</w:t>
            </w:r>
          </w:p>
        </w:tc>
      </w:tr>
    </w:tbl>
    <w:p>
      <w:pPr>
        <w:pStyle w:val="Heading1"/>
      </w:pPr>
      <w:r>
        <w:t>23. Definition of Done</w:t>
      </w:r>
    </w:p>
    <w:p>
      <w:r>
        <w:t>This architecture is ready for implementation when the platform can demonstrate, on at least one real scientific use case and several synthetic controls, that it can:</w:t>
      </w:r>
    </w:p>
    <w:p>
      <w:pPr>
        <w:pStyle w:val="ListBullet"/>
        <w:spacing w:after="40"/>
      </w:pPr>
      <w:r>
        <w:t>Define a measurand and trace the complete measurement/calibration chain.</w:t>
      </w:r>
    </w:p>
    <w:p>
      <w:pPr>
        <w:pStyle w:val="ListBullet"/>
        <w:spacing w:after="40"/>
      </w:pPr>
      <w:r>
        <w:t>Quantify uncertainty and separate measurement error from model discrepancy.</w:t>
      </w:r>
    </w:p>
    <w:p>
      <w:pPr>
        <w:pStyle w:val="ListBullet"/>
        <w:spacing w:after="40"/>
      </w:pPr>
      <w:r>
        <w:t>Detect parameter/hypothesis non-identifiability and recommend discriminating measurements.</w:t>
      </w:r>
    </w:p>
    <w:p>
      <w:pPr>
        <w:pStyle w:val="ListBullet"/>
        <w:spacing w:after="40"/>
      </w:pPr>
      <w:r>
        <w:t>Account for multiple testing and search-space size in discovery statistics.</w:t>
      </w:r>
    </w:p>
    <w:p>
      <w:pPr>
        <w:pStyle w:val="ListBullet"/>
        <w:spacing w:after="40"/>
      </w:pPr>
      <w:r>
        <w:t>Produce a machine-readable record of searched and unsearched model space.</w:t>
      </w:r>
    </w:p>
    <w:p>
      <w:pPr>
        <w:pStyle w:val="ListBullet"/>
        <w:spacing w:after="40"/>
      </w:pPr>
      <w:r>
        <w:t>Bridge at least two physical scales with quantified approximation error.</w:t>
      </w:r>
    </w:p>
    <w:p>
      <w:pPr>
        <w:pStyle w:val="ListBullet"/>
        <w:spacing w:after="40"/>
      </w:pPr>
      <w:r>
        <w:t>Compare multi-fidelity models and escalate to higher fidelity only when justified.</w:t>
      </w:r>
    </w:p>
    <w:p>
      <w:pPr>
        <w:pStyle w:val="ListBullet"/>
        <w:spacing w:after="40"/>
      </w:pPr>
      <w:r>
        <w:t>Generate candidate invariants, dimensionless relationships or model structures and subject them to assurance gates.</w:t>
      </w:r>
    </w:p>
    <w:p>
      <w:pPr>
        <w:pStyle w:val="ListBullet"/>
        <w:spacing w:after="40"/>
      </w:pPr>
      <w:r>
        <w:t>Issue an Unknown-Unknown Candidate only after defined evidence gates are met.</w:t>
      </w:r>
    </w:p>
    <w:p>
      <w:pPr>
        <w:pStyle w:val="ListBullet"/>
        <w:spacing w:after="40"/>
      </w:pPr>
      <w:r>
        <w:t>Optimize a small portfolio of experiments under real resource constraints.</w:t>
      </w:r>
    </w:p>
    <w:p>
      <w:pPr>
        <w:pStyle w:val="ListBullet"/>
        <w:spacing w:after="40"/>
      </w:pPr>
      <w:r>
        <w:t>Replay every scientific conclusion from versioned data, code, model and measurement artifacts.</w:t>
      </w:r>
    </w:p>
    <w:p>
      <w:r>
        <w:br w:type="page"/>
      </w:r>
    </w:p>
    <w:p>
      <w:pPr>
        <w:pStyle w:val="Heading1"/>
      </w:pPr>
      <w:r>
        <w:t>24. Relationship to the Other APEDP Documents</w:t>
      </w:r>
    </w:p>
    <w:tbl>
      <w:tblPr>
        <w:tblStyle w:val="TableGrid"/>
        <w:tblW w:type="auto" w:w="0"/>
        <w:jc w:val="center"/>
        <w:tblLook w:firstColumn="1" w:firstRow="1" w:lastColumn="0" w:lastRow="0" w:noHBand="0" w:noVBand="1" w:val="04A0"/>
      </w:tblPr>
      <w:tblGrid>
        <w:gridCol w:w="3331"/>
        <w:gridCol w:w="3331"/>
        <w:gridCol w:w="3331"/>
      </w:tblGrid>
      <w:tr>
        <w:trPr>
          <w:tblHeader w:val="true"/>
          <w:tblHeader w:val="true"/>
          <w:tblHeader w:val="true"/>
        </w:trPr>
        <w:tc>
          <w:tcPr>
            <w:tcW w:type="dxa" w:w="3168"/>
            <w:vAlign w:val="center"/>
            <w:tcMar>
              <w:top w:w="80" w:type="dxa"/>
              <w:start w:w="90" w:type="dxa"/>
              <w:bottom w:w="80" w:type="dxa"/>
              <w:end w:w="90" w:type="dxa"/>
            </w:tcMar>
            <w:shd w:fill="1F4E78"/>
          </w:tcPr>
          <w:p>
            <w:pPr>
              <w:spacing w:after="40"/>
            </w:pPr>
            <w:r>
              <w:rPr>
                <w:b/>
                <w:sz w:val="17"/>
              </w:rPr>
              <w:t>Document</w:t>
            </w:r>
          </w:p>
        </w:tc>
        <w:tc>
          <w:tcPr>
            <w:tcW w:type="dxa" w:w="3600"/>
            <w:vAlign w:val="center"/>
            <w:tcMar>
              <w:top w:w="80" w:type="dxa"/>
              <w:start w:w="90" w:type="dxa"/>
              <w:bottom w:w="80" w:type="dxa"/>
              <w:end w:w="90" w:type="dxa"/>
            </w:tcMar>
            <w:shd w:fill="1F4E78"/>
          </w:tcPr>
          <w:p>
            <w:pPr>
              <w:spacing w:after="40"/>
            </w:pPr>
            <w:r>
              <w:rPr>
                <w:b/>
                <w:sz w:val="17"/>
              </w:rPr>
              <w:t>Primary purpose</w:t>
            </w:r>
          </w:p>
        </w:tc>
        <w:tc>
          <w:tcPr>
            <w:tcW w:type="dxa" w:w="4320"/>
            <w:vAlign w:val="center"/>
            <w:tcMar>
              <w:top w:w="80" w:type="dxa"/>
              <w:start w:w="90" w:type="dxa"/>
              <w:bottom w:w="80" w:type="dxa"/>
              <w:end w:w="90" w:type="dxa"/>
            </w:tcMar>
            <w:shd w:fill="1F4E78"/>
          </w:tcPr>
          <w:p>
            <w:pPr>
              <w:spacing w:after="40"/>
            </w:pPr>
            <w:r>
              <w:rPr>
                <w:b/>
                <w:sz w:val="17"/>
              </w:rPr>
              <w:t>Relationship</w:t>
            </w:r>
          </w:p>
        </w:tc>
      </w:tr>
      <w:tr>
        <w:tc>
          <w:tcPr>
            <w:tcW w:type="dxa" w:w="3168"/>
            <w:vAlign w:val="center"/>
            <w:tcMar>
              <w:top w:w="80" w:type="dxa"/>
              <w:start w:w="90" w:type="dxa"/>
              <w:bottom w:w="80" w:type="dxa"/>
              <w:end w:w="90" w:type="dxa"/>
            </w:tcMar>
          </w:tcPr>
          <w:p>
            <w:pPr>
              <w:spacing w:after="40"/>
            </w:pPr>
            <w:r>
              <w:rPr>
                <w:sz w:val="17"/>
              </w:rPr>
              <w:t>Non-Technical Requirements &amp; Operating Model</w:t>
            </w:r>
          </w:p>
        </w:tc>
        <w:tc>
          <w:tcPr>
            <w:tcW w:type="dxa" w:w="3600"/>
            <w:vAlign w:val="center"/>
            <w:tcMar>
              <w:top w:w="80" w:type="dxa"/>
              <w:start w:w="90" w:type="dxa"/>
              <w:bottom w:w="80" w:type="dxa"/>
              <w:end w:w="90" w:type="dxa"/>
            </w:tcMar>
          </w:tcPr>
          <w:p>
            <w:pPr>
              <w:spacing w:after="40"/>
            </w:pPr>
            <w:r>
              <w:rPr>
                <w:sz w:val="17"/>
              </w:rPr>
              <w:t>Vision, stakeholders, governance, outcomes</w:t>
            </w:r>
          </w:p>
        </w:tc>
        <w:tc>
          <w:tcPr>
            <w:tcW w:type="dxa" w:w="4320"/>
            <w:vAlign w:val="center"/>
            <w:tcMar>
              <w:top w:w="80" w:type="dxa"/>
              <w:start w:w="90" w:type="dxa"/>
              <w:bottom w:w="80" w:type="dxa"/>
              <w:end w:w="90" w:type="dxa"/>
            </w:tcMar>
          </w:tcPr>
          <w:p>
            <w:pPr>
              <w:spacing w:after="40"/>
            </w:pPr>
            <w:r>
              <w:rPr>
                <w:sz w:val="17"/>
              </w:rPr>
              <w:t>Defines why and under what organizational rules the platform exists.</w:t>
            </w:r>
          </w:p>
        </w:tc>
      </w:tr>
      <w:tr>
        <w:tc>
          <w:tcPr>
            <w:tcW w:type="dxa" w:w="3168"/>
            <w:vAlign w:val="center"/>
            <w:tcMar>
              <w:top w:w="80" w:type="dxa"/>
              <w:start w:w="90" w:type="dxa"/>
              <w:bottom w:w="80" w:type="dxa"/>
              <w:end w:w="90" w:type="dxa"/>
            </w:tcMar>
          </w:tcPr>
          <w:p>
            <w:pPr>
              <w:spacing w:after="40"/>
            </w:pPr>
            <w:r>
              <w:rPr>
                <w:sz w:val="17"/>
              </w:rPr>
              <w:t>Technical Requirements Specification</w:t>
            </w:r>
          </w:p>
        </w:tc>
        <w:tc>
          <w:tcPr>
            <w:tcW w:type="dxa" w:w="3600"/>
            <w:vAlign w:val="center"/>
            <w:tcMar>
              <w:top w:w="80" w:type="dxa"/>
              <w:start w:w="90" w:type="dxa"/>
              <w:bottom w:w="80" w:type="dxa"/>
              <w:end w:w="90" w:type="dxa"/>
            </w:tcMar>
          </w:tcPr>
          <w:p>
            <w:pPr>
              <w:spacing w:after="40"/>
            </w:pPr>
            <w:r>
              <w:rPr>
                <w:sz w:val="17"/>
              </w:rPr>
              <w:t>Software, data, interfaces, infrastructure, domain engines</w:t>
            </w:r>
          </w:p>
        </w:tc>
        <w:tc>
          <w:tcPr>
            <w:tcW w:type="dxa" w:w="4320"/>
            <w:vAlign w:val="center"/>
            <w:tcMar>
              <w:top w:w="80" w:type="dxa"/>
              <w:start w:w="90" w:type="dxa"/>
              <w:bottom w:w="80" w:type="dxa"/>
              <w:end w:w="90" w:type="dxa"/>
            </w:tcMar>
          </w:tcPr>
          <w:p>
            <w:pPr>
              <w:spacing w:after="40"/>
            </w:pPr>
            <w:r>
              <w:rPr>
                <w:sz w:val="17"/>
              </w:rPr>
              <w:t>Defines what must be built.</w:t>
            </w:r>
          </w:p>
        </w:tc>
      </w:tr>
      <w:tr>
        <w:tc>
          <w:tcPr>
            <w:tcW w:type="dxa" w:w="3168"/>
            <w:vAlign w:val="center"/>
            <w:tcMar>
              <w:top w:w="80" w:type="dxa"/>
              <w:start w:w="90" w:type="dxa"/>
              <w:bottom w:w="80" w:type="dxa"/>
              <w:end w:w="90" w:type="dxa"/>
            </w:tcMar>
          </w:tcPr>
          <w:p>
            <w:pPr>
              <w:spacing w:after="40"/>
            </w:pPr>
            <w:r>
              <w:rPr>
                <w:sz w:val="17"/>
              </w:rPr>
              <w:t>Scientific &amp; Mathematical Assurance Specification</w:t>
            </w:r>
          </w:p>
        </w:tc>
        <w:tc>
          <w:tcPr>
            <w:tcW w:type="dxa" w:w="3600"/>
            <w:vAlign w:val="center"/>
            <w:tcMar>
              <w:top w:w="80" w:type="dxa"/>
              <w:start w:w="90" w:type="dxa"/>
              <w:bottom w:w="80" w:type="dxa"/>
              <w:end w:w="90" w:type="dxa"/>
            </w:tcMar>
          </w:tcPr>
          <w:p>
            <w:pPr>
              <w:spacing w:after="40"/>
            </w:pPr>
            <w:r>
              <w:rPr>
                <w:sz w:val="17"/>
              </w:rPr>
              <w:t>Equation, model, simulation, evidence, falsification and promotion controls</w:t>
            </w:r>
          </w:p>
        </w:tc>
        <w:tc>
          <w:tcPr>
            <w:tcW w:type="dxa" w:w="4320"/>
            <w:vAlign w:val="center"/>
            <w:tcMar>
              <w:top w:w="80" w:type="dxa"/>
              <w:start w:w="90" w:type="dxa"/>
              <w:bottom w:w="80" w:type="dxa"/>
              <w:end w:w="90" w:type="dxa"/>
            </w:tcMar>
          </w:tcPr>
          <w:p>
            <w:pPr>
              <w:spacing w:after="40"/>
            </w:pPr>
            <w:r>
              <w:rPr>
                <w:sz w:val="17"/>
              </w:rPr>
              <w:t>Defines how claims earn trust.</w:t>
            </w:r>
          </w:p>
        </w:tc>
      </w:tr>
      <w:tr>
        <w:tc>
          <w:tcPr>
            <w:tcW w:type="dxa" w:w="3168"/>
            <w:vAlign w:val="center"/>
            <w:tcMar>
              <w:top w:w="80" w:type="dxa"/>
              <w:start w:w="90" w:type="dxa"/>
              <w:bottom w:w="80" w:type="dxa"/>
              <w:end w:w="90" w:type="dxa"/>
            </w:tcMar>
          </w:tcPr>
          <w:p>
            <w:pPr>
              <w:spacing w:after="40"/>
            </w:pPr>
            <w:r>
              <w:rPr>
                <w:sz w:val="17"/>
              </w:rPr>
              <w:t>Scientific Discovery &amp; Metrology Architecture Specification</w:t>
            </w:r>
          </w:p>
        </w:tc>
        <w:tc>
          <w:tcPr>
            <w:tcW w:type="dxa" w:w="3600"/>
            <w:vAlign w:val="center"/>
            <w:tcMar>
              <w:top w:w="80" w:type="dxa"/>
              <w:start w:w="90" w:type="dxa"/>
              <w:bottom w:w="80" w:type="dxa"/>
              <w:end w:w="90" w:type="dxa"/>
            </w:tcMar>
          </w:tcPr>
          <w:p>
            <w:pPr>
              <w:spacing w:after="40"/>
            </w:pPr>
            <w:r>
              <w:rPr>
                <w:sz w:val="17"/>
              </w:rPr>
              <w:t>Measurement science, search coverage, discovery statistics, cross-scale reasoning and unknown-unknown discovery</w:t>
            </w:r>
          </w:p>
        </w:tc>
        <w:tc>
          <w:tcPr>
            <w:tcW w:type="dxa" w:w="4320"/>
            <w:vAlign w:val="center"/>
            <w:tcMar>
              <w:top w:w="80" w:type="dxa"/>
              <w:start w:w="90" w:type="dxa"/>
              <w:bottom w:w="80" w:type="dxa"/>
              <w:end w:w="90" w:type="dxa"/>
            </w:tcMar>
          </w:tcPr>
          <w:p>
            <w:pPr>
              <w:spacing w:after="40"/>
            </w:pPr>
            <w:r>
              <w:rPr>
                <w:sz w:val="17"/>
              </w:rPr>
              <w:t>Defines how the platform explores the boundary of knowledge without confusing model failure with new physics.</w:t>
            </w:r>
          </w:p>
        </w:tc>
      </w:tr>
    </w:tbl>
    <w:p>
      <w:pPr>
        <w:pStyle w:val="Heading1"/>
      </w:pPr>
      <w:r>
        <w:t>25. Closing Requirement</w:t>
      </w:r>
    </w:p>
    <w:p>
      <w:pPr>
        <w:pStyle w:val="Callout"/>
      </w:pPr>
      <w:r>
        <w:rPr>
          <w:b/>
        </w:rPr>
        <w:t xml:space="preserve">CORE PRINCIPLE. </w:t>
      </w:r>
      <w:r>
        <w:t>The platform must not only ask “Which model fits the data?” It must also ask “Are we measuring the right quantity, can the hypotheses be identified, what models have actually been searched, what assumptions are failing, and what observation would most efficiently distinguish the remaining possibilities?”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APEDP • Scientific Discovery &amp; Metrology Architecture Specification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APEDP — Scientific Discovery &amp; Metrology Architecture Specification</dc:title>
  <dc:subject>Measurement science, discovery statistics, model-space coverage and scientific discovery architecture</dc:subject>
  <dc:creator>APEDP Research Architecture</dc:creator>
  <cp:keywords>APEDP, metrology, scientific discovery, model space, identifiability, anomaly detection, physics, engineering</cp:keywords>
  <dc:description>Version 1.0 — September 2026</dc:description>
  <cp:lastModifiedBy/>
  <cp:revision>1</cp:revision>
  <dcterms:created xsi:type="dcterms:W3CDTF">2013-12-23T23:15:00Z</dcterms:created>
  <dcterms:modified xsi:type="dcterms:W3CDTF">2013-12-23T23:15:00Z</dcterms:modified>
  <cp:category/>
</cp:coreProperties>
</file>