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AUTONOMOUS PHYSICS &amp; ENGINEERING DISCOVERY PLATFORM</w:t>
      </w:r>
    </w:p>
    <w:p>
      <w:pPr>
        <w:pStyle w:val="Title"/>
        <w:jc w:val="center"/>
      </w:pPr>
      <w:r>
        <w:t>Scientific &amp; Mathematical Assurance Specification</w:t>
      </w:r>
    </w:p>
    <w:p>
      <w:pPr>
        <w:jc w:val="center"/>
      </w:pPr>
      <w:r>
        <w:rPr>
          <w:i/>
          <w:sz w:val="22"/>
        </w:rPr>
        <w:t>Assurance architecture for mathematics, models, simulations, data, experiments, discovery and self-improvement</w:t>
      </w:r>
    </w:p>
    <w:p>
      <w:pPr>
        <w:jc w:val="center"/>
      </w:pPr>
      <w:r>
        <w:rPr>
          <w:sz w:val="20"/>
        </w:rPr>
        <w:t>Version 1.0 • September 2026 • Engineering / Research Baseline</w:t>
      </w:r>
    </w:p>
    <w:p>
      <w:pPr>
        <w:pStyle w:val="Callout"/>
      </w:pPr>
      <w:r>
        <w:rPr>
          <w:b/>
        </w:rPr>
        <w:t xml:space="preserve">PURPOSE. </w:t>
      </w:r>
      <w:r>
        <w:t>This document defines the assurance layer required to make an ambitious physics, quantum, chemistry, energy and engineering discovery platform trustworthy. It complements the Technical Requirements Specification and the Non-Technical Requirements &amp; Operating Model.</w:t>
      </w:r>
    </w:p>
    <w:p>
      <w:pPr>
        <w:pStyle w:val="Callout"/>
      </w:pPr>
      <w:r>
        <w:rPr>
          <w:b/>
        </w:rPr>
        <w:t xml:space="preserve">EVIDENCE DISCIPLINE. </w:t>
      </w:r>
      <w:r>
        <w:t>The platform must distinguish established physics, model-dependent theory, numerical inference, speculative hypotheses, simulation-only results and experimentally supported claims. The system is allowed to be wrong; it is not allowed to hide uncertainty or silently promote speculation to fact.</w:t>
      </w:r>
    </w:p>
    <w:p>
      <w:r>
        <w:br w:type="page"/>
      </w:r>
    </w:p>
    <w:p>
      <w:pPr>
        <w:pStyle w:val="Heading1"/>
      </w:pPr>
      <w:r>
        <w:t>1. Executive Summary</w:t>
      </w:r>
    </w:p>
    <w:p>
      <w:r>
        <w:t>The project has expanded from a possible anomaly detector into a broader scientific discovery and engineering system. The assurance layer is therefore a first-class system, not an administrative afterthought. Its job is to test equations, verify model domains, quantify uncertainty, reproduce known science, expose confirmation bias, challenge hypotheses, control self-improvement, protect physical experiments, and preserve reproducibility.</w:t>
      </w:r>
    </w:p>
    <w:p>
      <w:r>
        <w:t>The core assurance principle is:</w:t>
      </w:r>
    </w:p>
    <w:p>
      <w:pPr>
        <w:jc w:val="center"/>
      </w:pPr>
      <w:r>
        <w:rPr>
          <w:b/>
          <w:sz w:val="24"/>
        </w:rPr>
        <w:t>Generate → Simulate → Falsify → Validate → Predict → Observe → Reassess</w:t>
      </w:r>
    </w:p>
    <w:p>
      <w:r>
        <w:t>The system should optimize discovery opportunity while preserving scientific integrity, safety and cost discipline. No single AI model, equation score, anomaly score or LLM output is sufficient to establish a scientific claim.</w:t>
      </w:r>
    </w:p>
    <w:p>
      <w:pPr>
        <w:pStyle w:val="Heading1"/>
      </w:pPr>
      <w:r>
        <w:t>2. Scope and Positioning</w:t>
      </w:r>
    </w:p>
    <w:p>
      <w:pPr>
        <w:pStyle w:val="ListBullet"/>
        <w:spacing w:after="40"/>
      </w:pPr>
      <w:r>
        <w:t>Covers mathematical assurance, physical model assurance, numerical simulation assurance, data/calibration assurance, experimental assurance, discovery assurance and self-improvement assurance.</w:t>
      </w:r>
    </w:p>
    <w:p>
      <w:pPr>
        <w:pStyle w:val="ListBullet"/>
        <w:spacing w:after="40"/>
      </w:pPr>
      <w:r>
        <w:t>Applies across relativity, quantum mechanics, quantum field theory interfaces, thermodynamics, exergy, chemistry, materials science, nuclear physics, information theory, energy systems, astronomy and engineering.</w:t>
      </w:r>
    </w:p>
    <w:p>
      <w:pPr>
        <w:pStyle w:val="ListBullet"/>
        <w:spacing w:after="40"/>
      </w:pPr>
      <w:r>
        <w:t>Supports both software-only R&amp;D and later hardware-in-the-loop experimentation.</w:t>
      </w:r>
    </w:p>
    <w:p>
      <w:pPr>
        <w:pStyle w:val="ListBullet"/>
        <w:spacing w:after="40"/>
      </w:pPr>
      <w:r>
        <w:t>Does not claim that wormholes, interdimensional portals or other exotic phenomena are established physical objects. Such concepts are represented as explicitly labeled hypotheses.</w:t>
      </w:r>
    </w:p>
    <w:p>
      <w:pPr>
        <w:pStyle w:val="Heading1"/>
      </w:pPr>
      <w:r>
        <w:t>3. Assurance Principles</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3024"/>
            <w:vAlign w:val="center"/>
            <w:tcMar>
              <w:top w:w="80" w:type="dxa"/>
              <w:start w:w="90" w:type="dxa"/>
              <w:bottom w:w="80" w:type="dxa"/>
              <w:end w:w="90" w:type="dxa"/>
            </w:tcMar>
            <w:shd w:fill="1F4E78"/>
          </w:tcPr>
          <w:p>
            <w:pPr>
              <w:spacing w:after="40"/>
            </w:pPr>
            <w:r>
              <w:rPr>
                <w:b/>
                <w:sz w:val="17"/>
              </w:rPr>
              <w:t>Principle</w:t>
            </w:r>
          </w:p>
        </w:tc>
        <w:tc>
          <w:tcPr>
            <w:tcW w:type="dxa" w:w="6768"/>
            <w:vAlign w:val="center"/>
            <w:tcMar>
              <w:top w:w="80" w:type="dxa"/>
              <w:start w:w="90" w:type="dxa"/>
              <w:bottom w:w="80" w:type="dxa"/>
              <w:end w:w="90" w:type="dxa"/>
            </w:tcMar>
            <w:shd w:fill="1F4E78"/>
          </w:tcPr>
          <w:p>
            <w:pPr>
              <w:spacing w:after="40"/>
            </w:pPr>
            <w:r>
              <w:rPr>
                <w:b/>
                <w:sz w:val="17"/>
              </w:rPr>
              <w:t>Requirement</w:t>
            </w:r>
          </w:p>
        </w:tc>
      </w:tr>
      <w:tr>
        <w:tc>
          <w:tcPr>
            <w:tcW w:type="dxa" w:w="3024"/>
            <w:vAlign w:val="center"/>
            <w:tcMar>
              <w:top w:w="80" w:type="dxa"/>
              <w:start w:w="90" w:type="dxa"/>
              <w:bottom w:w="80" w:type="dxa"/>
              <w:end w:w="90" w:type="dxa"/>
            </w:tcMar>
          </w:tcPr>
          <w:p>
            <w:pPr>
              <w:spacing w:after="40"/>
            </w:pPr>
            <w:r>
              <w:rPr>
                <w:sz w:val="17"/>
              </w:rPr>
              <w:t>P1 — Evidence before conclusion</w:t>
            </w:r>
          </w:p>
        </w:tc>
        <w:tc>
          <w:tcPr>
            <w:tcW w:type="dxa" w:w="6768"/>
            <w:vAlign w:val="center"/>
            <w:tcMar>
              <w:top w:w="80" w:type="dxa"/>
              <w:start w:w="90" w:type="dxa"/>
              <w:bottom w:w="80" w:type="dxa"/>
              <w:end w:w="90" w:type="dxa"/>
            </w:tcMar>
          </w:tcPr>
          <w:p>
            <w:pPr>
              <w:spacing w:after="40"/>
            </w:pPr>
            <w:r>
              <w:rPr>
                <w:sz w:val="17"/>
              </w:rPr>
              <w:t>No discovery status may exceed the evidence actually produced.</w:t>
            </w:r>
          </w:p>
        </w:tc>
      </w:tr>
      <w:tr>
        <w:tc>
          <w:tcPr>
            <w:tcW w:type="dxa" w:w="3024"/>
            <w:vAlign w:val="center"/>
            <w:tcMar>
              <w:top w:w="80" w:type="dxa"/>
              <w:start w:w="90" w:type="dxa"/>
              <w:bottom w:w="80" w:type="dxa"/>
              <w:end w:w="90" w:type="dxa"/>
            </w:tcMar>
          </w:tcPr>
          <w:p>
            <w:pPr>
              <w:spacing w:after="40"/>
            </w:pPr>
            <w:r>
              <w:rPr>
                <w:sz w:val="17"/>
              </w:rPr>
              <w:t>P2 — Assumptions are executable metadata</w:t>
            </w:r>
          </w:p>
        </w:tc>
        <w:tc>
          <w:tcPr>
            <w:tcW w:type="dxa" w:w="6768"/>
            <w:vAlign w:val="center"/>
            <w:tcMar>
              <w:top w:w="80" w:type="dxa"/>
              <w:start w:w="90" w:type="dxa"/>
              <w:bottom w:w="80" w:type="dxa"/>
              <w:end w:w="90" w:type="dxa"/>
            </w:tcMar>
          </w:tcPr>
          <w:p>
            <w:pPr>
              <w:spacing w:after="40"/>
            </w:pPr>
            <w:r>
              <w:rPr>
                <w:sz w:val="17"/>
              </w:rPr>
              <w:t>Every material equation/model carries its assumptions and domain of validity.</w:t>
            </w:r>
          </w:p>
        </w:tc>
      </w:tr>
      <w:tr>
        <w:tc>
          <w:tcPr>
            <w:tcW w:type="dxa" w:w="3024"/>
            <w:vAlign w:val="center"/>
            <w:tcMar>
              <w:top w:w="80" w:type="dxa"/>
              <w:start w:w="90" w:type="dxa"/>
              <w:bottom w:w="80" w:type="dxa"/>
              <w:end w:w="90" w:type="dxa"/>
            </w:tcMar>
          </w:tcPr>
          <w:p>
            <w:pPr>
              <w:spacing w:after="40"/>
            </w:pPr>
            <w:r>
              <w:rPr>
                <w:sz w:val="17"/>
              </w:rPr>
              <w:t>P3 — Known science is a regression suite</w:t>
            </w:r>
          </w:p>
        </w:tc>
        <w:tc>
          <w:tcPr>
            <w:tcW w:type="dxa" w:w="6768"/>
            <w:vAlign w:val="center"/>
            <w:tcMar>
              <w:top w:w="80" w:type="dxa"/>
              <w:start w:w="90" w:type="dxa"/>
              <w:bottom w:w="80" w:type="dxa"/>
              <w:end w:w="90" w:type="dxa"/>
            </w:tcMar>
          </w:tcPr>
          <w:p>
            <w:pPr>
              <w:spacing w:after="40"/>
            </w:pPr>
            <w:r>
              <w:rPr>
                <w:sz w:val="17"/>
              </w:rPr>
              <w:t>A new formulation must preserve validated benchmark behavior unless an explicit, reviewable reason exists.</w:t>
            </w:r>
          </w:p>
        </w:tc>
      </w:tr>
      <w:tr>
        <w:tc>
          <w:tcPr>
            <w:tcW w:type="dxa" w:w="3024"/>
            <w:vAlign w:val="center"/>
            <w:tcMar>
              <w:top w:w="80" w:type="dxa"/>
              <w:start w:w="90" w:type="dxa"/>
              <w:bottom w:w="80" w:type="dxa"/>
              <w:end w:w="90" w:type="dxa"/>
            </w:tcMar>
          </w:tcPr>
          <w:p>
            <w:pPr>
              <w:spacing w:after="40"/>
            </w:pPr>
            <w:r>
              <w:rPr>
                <w:sz w:val="17"/>
              </w:rPr>
              <w:t>P4 — Falsification before promotion</w:t>
            </w:r>
          </w:p>
        </w:tc>
        <w:tc>
          <w:tcPr>
            <w:tcW w:type="dxa" w:w="6768"/>
            <w:vAlign w:val="center"/>
            <w:tcMar>
              <w:top w:w="80" w:type="dxa"/>
              <w:start w:w="90" w:type="dxa"/>
              <w:bottom w:w="80" w:type="dxa"/>
              <w:end w:w="90" w:type="dxa"/>
            </w:tcMar>
          </w:tcPr>
          <w:p>
            <w:pPr>
              <w:spacing w:after="40"/>
            </w:pPr>
            <w:r>
              <w:rPr>
                <w:sz w:val="17"/>
              </w:rPr>
              <w:t>Candidate explanations are actively attacked before they are promoted.</w:t>
            </w:r>
          </w:p>
        </w:tc>
      </w:tr>
      <w:tr>
        <w:tc>
          <w:tcPr>
            <w:tcW w:type="dxa" w:w="3024"/>
            <w:vAlign w:val="center"/>
            <w:tcMar>
              <w:top w:w="80" w:type="dxa"/>
              <w:start w:w="90" w:type="dxa"/>
              <w:bottom w:w="80" w:type="dxa"/>
              <w:end w:w="90" w:type="dxa"/>
            </w:tcMar>
          </w:tcPr>
          <w:p>
            <w:pPr>
              <w:spacing w:after="40"/>
            </w:pPr>
            <w:r>
              <w:rPr>
                <w:sz w:val="17"/>
              </w:rPr>
              <w:t>P5 — Correlation is not independence</w:t>
            </w:r>
          </w:p>
        </w:tc>
        <w:tc>
          <w:tcPr>
            <w:tcW w:type="dxa" w:w="6768"/>
            <w:vAlign w:val="center"/>
            <w:tcMar>
              <w:top w:w="80" w:type="dxa"/>
              <w:start w:w="90" w:type="dxa"/>
              <w:bottom w:w="80" w:type="dxa"/>
              <w:end w:w="90" w:type="dxa"/>
            </w:tcMar>
          </w:tcPr>
          <w:p>
            <w:pPr>
              <w:spacing w:after="40"/>
            </w:pPr>
            <w:r>
              <w:rPr>
                <w:sz w:val="17"/>
              </w:rPr>
              <w:t>Joint evidence models must represent correlated noise, sensors and observations.</w:t>
            </w:r>
          </w:p>
        </w:tc>
      </w:tr>
      <w:tr>
        <w:tc>
          <w:tcPr>
            <w:tcW w:type="dxa" w:w="3024"/>
            <w:vAlign w:val="center"/>
            <w:tcMar>
              <w:top w:w="80" w:type="dxa"/>
              <w:start w:w="90" w:type="dxa"/>
              <w:bottom w:w="80" w:type="dxa"/>
              <w:end w:w="90" w:type="dxa"/>
            </w:tcMar>
          </w:tcPr>
          <w:p>
            <w:pPr>
              <w:spacing w:after="40"/>
            </w:pPr>
            <w:r>
              <w:rPr>
                <w:sz w:val="17"/>
              </w:rPr>
              <w:t>P6 — Unknown is a valid result</w:t>
            </w:r>
          </w:p>
        </w:tc>
        <w:tc>
          <w:tcPr>
            <w:tcW w:type="dxa" w:w="6768"/>
            <w:vAlign w:val="center"/>
            <w:tcMar>
              <w:top w:w="80" w:type="dxa"/>
              <w:start w:w="90" w:type="dxa"/>
              <w:bottom w:w="80" w:type="dxa"/>
              <w:end w:w="90" w:type="dxa"/>
            </w:tcMar>
          </w:tcPr>
          <w:p>
            <w:pPr>
              <w:spacing w:after="40"/>
            </w:pPr>
            <w:r>
              <w:rPr>
                <w:sz w:val="17"/>
              </w:rPr>
              <w:t>Out-of-distribution or underdetermined cases must be allowed to remain unresolved.</w:t>
            </w:r>
          </w:p>
        </w:tc>
      </w:tr>
      <w:tr>
        <w:tc>
          <w:tcPr>
            <w:tcW w:type="dxa" w:w="3024"/>
            <w:vAlign w:val="center"/>
            <w:tcMar>
              <w:top w:w="80" w:type="dxa"/>
              <w:start w:w="90" w:type="dxa"/>
              <w:bottom w:w="80" w:type="dxa"/>
              <w:end w:w="90" w:type="dxa"/>
            </w:tcMar>
          </w:tcPr>
          <w:p>
            <w:pPr>
              <w:spacing w:after="40"/>
            </w:pPr>
            <w:r>
              <w:rPr>
                <w:sz w:val="17"/>
              </w:rPr>
              <w:t>P7 — Self-improvement is staged</w:t>
            </w:r>
          </w:p>
        </w:tc>
        <w:tc>
          <w:tcPr>
            <w:tcW w:type="dxa" w:w="6768"/>
            <w:vAlign w:val="center"/>
            <w:tcMar>
              <w:top w:w="80" w:type="dxa"/>
              <w:start w:w="90" w:type="dxa"/>
              <w:bottom w:w="80" w:type="dxa"/>
              <w:end w:w="90" w:type="dxa"/>
            </w:tcMar>
          </w:tcPr>
          <w:p>
            <w:pPr>
              <w:spacing w:after="40"/>
            </w:pPr>
            <w:r>
              <w:rPr>
                <w:sz w:val="17"/>
              </w:rPr>
              <w:t>Autonomous changes occur in sandbox, benchmark, shadow and approval gates before promotion.</w:t>
            </w:r>
          </w:p>
        </w:tc>
      </w:tr>
      <w:tr>
        <w:tc>
          <w:tcPr>
            <w:tcW w:type="dxa" w:w="3024"/>
            <w:vAlign w:val="center"/>
            <w:tcMar>
              <w:top w:w="80" w:type="dxa"/>
              <w:start w:w="90" w:type="dxa"/>
              <w:bottom w:w="80" w:type="dxa"/>
              <w:end w:w="90" w:type="dxa"/>
            </w:tcMar>
          </w:tcPr>
          <w:p>
            <w:pPr>
              <w:spacing w:after="40"/>
            </w:pPr>
            <w:r>
              <w:rPr>
                <w:sz w:val="17"/>
              </w:rPr>
              <w:t>P8 — Physical safety is independent</w:t>
            </w:r>
          </w:p>
        </w:tc>
        <w:tc>
          <w:tcPr>
            <w:tcW w:type="dxa" w:w="6768"/>
            <w:vAlign w:val="center"/>
            <w:tcMar>
              <w:top w:w="80" w:type="dxa"/>
              <w:start w:w="90" w:type="dxa"/>
              <w:bottom w:w="80" w:type="dxa"/>
              <w:end w:w="90" w:type="dxa"/>
            </w:tcMar>
          </w:tcPr>
          <w:p>
            <w:pPr>
              <w:spacing w:after="40"/>
            </w:pPr>
            <w:r>
              <w:rPr>
                <w:sz w:val="17"/>
              </w:rPr>
              <w:t>The discovery AI cannot directly bypass independent physical safety controls.</w:t>
            </w:r>
          </w:p>
        </w:tc>
      </w:tr>
      <w:tr>
        <w:tc>
          <w:tcPr>
            <w:tcW w:type="dxa" w:w="3024"/>
            <w:vAlign w:val="center"/>
            <w:tcMar>
              <w:top w:w="80" w:type="dxa"/>
              <w:start w:w="90" w:type="dxa"/>
              <w:bottom w:w="80" w:type="dxa"/>
              <w:end w:w="90" w:type="dxa"/>
            </w:tcMar>
          </w:tcPr>
          <w:p>
            <w:pPr>
              <w:spacing w:after="40"/>
            </w:pPr>
            <w:r>
              <w:rPr>
                <w:sz w:val="17"/>
              </w:rPr>
              <w:t>P9 — Energy and resource costs are evidence</w:t>
            </w:r>
          </w:p>
        </w:tc>
        <w:tc>
          <w:tcPr>
            <w:tcW w:type="dxa" w:w="6768"/>
            <w:vAlign w:val="center"/>
            <w:tcMar>
              <w:top w:w="80" w:type="dxa"/>
              <w:start w:w="90" w:type="dxa"/>
              <w:bottom w:w="80" w:type="dxa"/>
              <w:end w:w="90" w:type="dxa"/>
            </w:tcMar>
          </w:tcPr>
          <w:p>
            <w:pPr>
              <w:spacing w:after="40"/>
            </w:pPr>
            <w:r>
              <w:rPr>
                <w:sz w:val="17"/>
              </w:rPr>
              <w:t>Scientific value must be evaluated together with energy, compute, time, materials and financial cost.</w:t>
            </w:r>
          </w:p>
        </w:tc>
      </w:tr>
      <w:tr>
        <w:tc>
          <w:tcPr>
            <w:tcW w:type="dxa" w:w="3024"/>
            <w:vAlign w:val="center"/>
            <w:tcMar>
              <w:top w:w="80" w:type="dxa"/>
              <w:start w:w="90" w:type="dxa"/>
              <w:bottom w:w="80" w:type="dxa"/>
              <w:end w:w="90" w:type="dxa"/>
            </w:tcMar>
          </w:tcPr>
          <w:p>
            <w:pPr>
              <w:spacing w:after="40"/>
            </w:pPr>
            <w:r>
              <w:rPr>
                <w:sz w:val="17"/>
              </w:rPr>
              <w:t>P10 — Reproducibility is part of the result</w:t>
            </w:r>
          </w:p>
        </w:tc>
        <w:tc>
          <w:tcPr>
            <w:tcW w:type="dxa" w:w="6768"/>
            <w:vAlign w:val="center"/>
            <w:tcMar>
              <w:top w:w="80" w:type="dxa"/>
              <w:start w:w="90" w:type="dxa"/>
              <w:bottom w:w="80" w:type="dxa"/>
              <w:end w:w="90" w:type="dxa"/>
            </w:tcMar>
          </w:tcPr>
          <w:p>
            <w:pPr>
              <w:spacing w:after="40"/>
            </w:pPr>
            <w:r>
              <w:rPr>
                <w:sz w:val="17"/>
              </w:rPr>
              <w:t>A result without sufficient provenance and repeatability is not a promotion-ready result.</w:t>
            </w:r>
          </w:p>
        </w:tc>
      </w:tr>
    </w:tbl>
    <w:p>
      <w:pPr>
        <w:pStyle w:val="Heading1"/>
      </w:pPr>
      <w:r>
        <w:t>4. Assurance Architecture</w:t>
      </w:r>
    </w:p>
    <w:p>
      <w:r>
        <w:t>The assurance layer sits between discovery generation and authoritative promotion. Generators may propose; simulators may evaluate; observation pipelines may constrain; the assurance engine decides whether the evidentiary conditions for a given status have been satisfied.</w:t>
      </w:r>
    </w:p>
    <w:p>
      <w:pPr>
        <w:jc w:val="center"/>
      </w:pPr>
      <w:r>
        <w:rPr>
          <w:b/>
        </w:rPr>
        <w:t>OBSERVE → CALIBRATE → MODEL → RESIDUAL → ANOMALY → HYPOTHESIS → SIMULATE → FALSIFY → PREDICT → TEST → ASSURE → PROMOTE / REJECT / HOLD</w:t>
      </w:r>
    </w:p>
    <w:p>
      <w:pPr>
        <w:jc w:val="center"/>
      </w:pPr>
      <w:r>
        <w:rPr>
          <w:b/>
        </w:rPr>
        <w:t>Scientific Generator ↔ Simulation Fabric ↔ Evidence Store ↔ Assurance Engine ↔ Human Review</w:t>
      </w:r>
    </w:p>
    <w:p>
      <w:pPr>
        <w:jc w:val="center"/>
      </w:pPr>
      <w:r>
        <w:rPr>
          <w:b/>
        </w:rPr>
        <w:t>Energy / Exergy / Entropy / Information ledgers apply across computation, sensing and experiments.</w:t>
      </w:r>
    </w:p>
    <w:p>
      <w:pPr>
        <w:pStyle w:val="Heading1"/>
      </w:pPr>
      <w:r>
        <w:t>5. Equation Assurance Requirements</w:t>
      </w:r>
    </w:p>
    <w:p>
      <w:pPr>
        <w:pStyle w:val="ListBullet"/>
        <w:spacing w:after="40"/>
      </w:pPr>
      <w:r>
        <w:t>Each equation shall have a unique immutable identifier and version.</w:t>
      </w:r>
    </w:p>
    <w:p>
      <w:pPr>
        <w:pStyle w:val="ListBullet"/>
        <w:spacing w:after="40"/>
      </w:pPr>
      <w:r>
        <w:t>Each equation shall record variables, units, sign conventions, coordinate/frame conventions, assumptions, boundary conditions and initial conditions.</w:t>
      </w:r>
    </w:p>
    <w:p>
      <w:pPr>
        <w:pStyle w:val="ListBullet"/>
        <w:spacing w:after="40"/>
      </w:pPr>
      <w:r>
        <w:t>The system shall perform automated dimensional analysis and report mismatches before numerical execution.</w:t>
      </w:r>
    </w:p>
    <w:p>
      <w:pPr>
        <w:pStyle w:val="ListBullet"/>
        <w:spacing w:after="40"/>
      </w:pPr>
      <w:r>
        <w:t>The system shall distinguish exact identities, approximations, empirical fits, heuristic objectives and speculative formulations.</w:t>
      </w:r>
    </w:p>
    <w:p>
      <w:pPr>
        <w:pStyle w:val="ListBullet"/>
        <w:spacing w:after="40"/>
      </w:pPr>
      <w:r>
        <w:t>Where a derivation is expected, the derivation chain or a machine-checkable symbolic representation shall be stored.</w:t>
      </w:r>
    </w:p>
    <w:p>
      <w:pPr>
        <w:pStyle w:val="ListBullet"/>
        <w:spacing w:after="40"/>
      </w:pPr>
      <w:r>
        <w:t>Each equation shall define its validated and invalid regimes, including scale, temperature, density, field strength, frequency, approximation order and numerical precision where applicable.</w:t>
      </w:r>
    </w:p>
    <w:p>
      <w:pPr>
        <w:pStyle w:val="ListBullet"/>
        <w:spacing w:after="40"/>
      </w:pPr>
      <w:r>
        <w:t>Equation changes shall trigger dependency-aware regression tests against all models, simulations and results that depend on them.</w:t>
      </w:r>
    </w:p>
    <w:p>
      <w:pPr>
        <w:pStyle w:val="Heading2"/>
      </w:pPr>
      <w:r>
        <w:t>Minimum equation record</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2160"/>
            <w:vAlign w:val="center"/>
            <w:tcMar>
              <w:top w:w="80" w:type="dxa"/>
              <w:start w:w="90" w:type="dxa"/>
              <w:bottom w:w="80" w:type="dxa"/>
              <w:end w:w="90" w:type="dxa"/>
            </w:tcMar>
            <w:shd w:fill="1F4E78"/>
          </w:tcPr>
          <w:p>
            <w:pPr>
              <w:spacing w:after="40"/>
            </w:pPr>
            <w:r>
              <w:rPr>
                <w:b/>
                <w:sz w:val="17"/>
              </w:rPr>
              <w:t>Field</w:t>
            </w:r>
          </w:p>
        </w:tc>
        <w:tc>
          <w:tcPr>
            <w:tcW w:type="dxa" w:w="7632"/>
            <w:vAlign w:val="center"/>
            <w:tcMar>
              <w:top w:w="80" w:type="dxa"/>
              <w:start w:w="90" w:type="dxa"/>
              <w:bottom w:w="80" w:type="dxa"/>
              <w:end w:w="90" w:type="dxa"/>
            </w:tcMar>
            <w:shd w:fill="1F4E78"/>
          </w:tcPr>
          <w:p>
            <w:pPr>
              <w:spacing w:after="40"/>
            </w:pPr>
            <w:r>
              <w:rPr>
                <w:b/>
                <w:sz w:val="17"/>
              </w:rPr>
              <w:t>Required content</w:t>
            </w:r>
          </w:p>
        </w:tc>
      </w:tr>
      <w:tr>
        <w:tc>
          <w:tcPr>
            <w:tcW w:type="dxa" w:w="2160"/>
            <w:vAlign w:val="center"/>
            <w:tcMar>
              <w:top w:w="80" w:type="dxa"/>
              <w:start w:w="90" w:type="dxa"/>
              <w:bottom w:w="80" w:type="dxa"/>
              <w:end w:w="90" w:type="dxa"/>
            </w:tcMar>
          </w:tcPr>
          <w:p>
            <w:pPr>
              <w:spacing w:after="40"/>
            </w:pPr>
            <w:r>
              <w:rPr>
                <w:sz w:val="17"/>
              </w:rPr>
              <w:t>Identity</w:t>
            </w:r>
          </w:p>
        </w:tc>
        <w:tc>
          <w:tcPr>
            <w:tcW w:type="dxa" w:w="7632"/>
            <w:vAlign w:val="center"/>
            <w:tcMar>
              <w:top w:w="80" w:type="dxa"/>
              <w:start w:w="90" w:type="dxa"/>
              <w:bottom w:w="80" w:type="dxa"/>
              <w:end w:w="90" w:type="dxa"/>
            </w:tcMar>
          </w:tcPr>
          <w:p>
            <w:pPr>
              <w:spacing w:after="40"/>
            </w:pPr>
            <w:r>
              <w:rPr>
                <w:sz w:val="17"/>
              </w:rPr>
              <w:t>Equation ID, title, version, status, owner, creation/update timestamps</w:t>
            </w:r>
          </w:p>
        </w:tc>
      </w:tr>
      <w:tr>
        <w:tc>
          <w:tcPr>
            <w:tcW w:type="dxa" w:w="2160"/>
            <w:vAlign w:val="center"/>
            <w:tcMar>
              <w:top w:w="80" w:type="dxa"/>
              <w:start w:w="90" w:type="dxa"/>
              <w:bottom w:w="80" w:type="dxa"/>
              <w:end w:w="90" w:type="dxa"/>
            </w:tcMar>
          </w:tcPr>
          <w:p>
            <w:pPr>
              <w:spacing w:after="40"/>
            </w:pPr>
            <w:r>
              <w:rPr>
                <w:sz w:val="17"/>
              </w:rPr>
              <w:t>Mathematics</w:t>
            </w:r>
          </w:p>
        </w:tc>
        <w:tc>
          <w:tcPr>
            <w:tcW w:type="dxa" w:w="7632"/>
            <w:vAlign w:val="center"/>
            <w:tcMar>
              <w:top w:w="80" w:type="dxa"/>
              <w:start w:w="90" w:type="dxa"/>
              <w:bottom w:w="80" w:type="dxa"/>
              <w:end w:w="90" w:type="dxa"/>
            </w:tcMar>
          </w:tcPr>
          <w:p>
            <w:pPr>
              <w:spacing w:after="40"/>
            </w:pPr>
            <w:r>
              <w:rPr>
                <w:sz w:val="17"/>
              </w:rPr>
              <w:t>Canonical expression, variable definitions, units, transformations, derivation</w:t>
            </w:r>
          </w:p>
        </w:tc>
      </w:tr>
      <w:tr>
        <w:tc>
          <w:tcPr>
            <w:tcW w:type="dxa" w:w="2160"/>
            <w:vAlign w:val="center"/>
            <w:tcMar>
              <w:top w:w="80" w:type="dxa"/>
              <w:start w:w="90" w:type="dxa"/>
              <w:bottom w:w="80" w:type="dxa"/>
              <w:end w:w="90" w:type="dxa"/>
            </w:tcMar>
          </w:tcPr>
          <w:p>
            <w:pPr>
              <w:spacing w:after="40"/>
            </w:pPr>
            <w:r>
              <w:rPr>
                <w:sz w:val="17"/>
              </w:rPr>
              <w:t>Physics</w:t>
            </w:r>
          </w:p>
        </w:tc>
        <w:tc>
          <w:tcPr>
            <w:tcW w:type="dxa" w:w="7632"/>
            <w:vAlign w:val="center"/>
            <w:tcMar>
              <w:top w:w="80" w:type="dxa"/>
              <w:start w:w="90" w:type="dxa"/>
              <w:bottom w:w="80" w:type="dxa"/>
              <w:end w:w="90" w:type="dxa"/>
            </w:tcMar>
          </w:tcPr>
          <w:p>
            <w:pPr>
              <w:spacing w:after="40"/>
            </w:pPr>
            <w:r>
              <w:rPr>
                <w:sz w:val="17"/>
              </w:rPr>
              <w:t>Theory, interpretation, symmetries, conservation requirements</w:t>
            </w:r>
          </w:p>
        </w:tc>
      </w:tr>
      <w:tr>
        <w:tc>
          <w:tcPr>
            <w:tcW w:type="dxa" w:w="2160"/>
            <w:vAlign w:val="center"/>
            <w:tcMar>
              <w:top w:w="80" w:type="dxa"/>
              <w:start w:w="90" w:type="dxa"/>
              <w:bottom w:w="80" w:type="dxa"/>
              <w:end w:w="90" w:type="dxa"/>
            </w:tcMar>
          </w:tcPr>
          <w:p>
            <w:pPr>
              <w:spacing w:after="40"/>
            </w:pPr>
            <w:r>
              <w:rPr>
                <w:sz w:val="17"/>
              </w:rPr>
              <w:t>Validity</w:t>
            </w:r>
          </w:p>
        </w:tc>
        <w:tc>
          <w:tcPr>
            <w:tcW w:type="dxa" w:w="7632"/>
            <w:vAlign w:val="center"/>
            <w:tcMar>
              <w:top w:w="80" w:type="dxa"/>
              <w:start w:w="90" w:type="dxa"/>
              <w:bottom w:w="80" w:type="dxa"/>
              <w:end w:w="90" w:type="dxa"/>
            </w:tcMar>
          </w:tcPr>
          <w:p>
            <w:pPr>
              <w:spacing w:after="40"/>
            </w:pPr>
            <w:r>
              <w:rPr>
                <w:sz w:val="17"/>
              </w:rPr>
              <w:t>Domain, assumptions, approximations, boundary/initial conditions</w:t>
            </w:r>
          </w:p>
        </w:tc>
      </w:tr>
      <w:tr>
        <w:tc>
          <w:tcPr>
            <w:tcW w:type="dxa" w:w="2160"/>
            <w:vAlign w:val="center"/>
            <w:tcMar>
              <w:top w:w="80" w:type="dxa"/>
              <w:start w:w="90" w:type="dxa"/>
              <w:bottom w:w="80" w:type="dxa"/>
              <w:end w:w="90" w:type="dxa"/>
            </w:tcMar>
          </w:tcPr>
          <w:p>
            <w:pPr>
              <w:spacing w:after="40"/>
            </w:pPr>
            <w:r>
              <w:rPr>
                <w:sz w:val="17"/>
              </w:rPr>
              <w:t>Evidence</w:t>
            </w:r>
          </w:p>
        </w:tc>
        <w:tc>
          <w:tcPr>
            <w:tcW w:type="dxa" w:w="7632"/>
            <w:vAlign w:val="center"/>
            <w:tcMar>
              <w:top w:w="80" w:type="dxa"/>
              <w:start w:w="90" w:type="dxa"/>
              <w:bottom w:w="80" w:type="dxa"/>
              <w:end w:w="90" w:type="dxa"/>
            </w:tcMar>
          </w:tcPr>
          <w:p>
            <w:pPr>
              <w:spacing w:after="40"/>
            </w:pPr>
            <w:r>
              <w:rPr>
                <w:sz w:val="17"/>
              </w:rPr>
              <w:t>References, benchmarks, experimental status, known counterexamples</w:t>
            </w:r>
          </w:p>
        </w:tc>
      </w:tr>
      <w:tr>
        <w:tc>
          <w:tcPr>
            <w:tcW w:type="dxa" w:w="2160"/>
            <w:vAlign w:val="center"/>
            <w:tcMar>
              <w:top w:w="80" w:type="dxa"/>
              <w:start w:w="90" w:type="dxa"/>
              <w:bottom w:w="80" w:type="dxa"/>
              <w:end w:w="90" w:type="dxa"/>
            </w:tcMar>
          </w:tcPr>
          <w:p>
            <w:pPr>
              <w:spacing w:after="40"/>
            </w:pPr>
            <w:r>
              <w:rPr>
                <w:sz w:val="17"/>
              </w:rPr>
              <w:t>Verification</w:t>
            </w:r>
          </w:p>
        </w:tc>
        <w:tc>
          <w:tcPr>
            <w:tcW w:type="dxa" w:w="7632"/>
            <w:vAlign w:val="center"/>
            <w:tcMar>
              <w:top w:w="80" w:type="dxa"/>
              <w:start w:w="90" w:type="dxa"/>
              <w:bottom w:w="80" w:type="dxa"/>
              <w:end w:w="90" w:type="dxa"/>
            </w:tcMar>
          </w:tcPr>
          <w:p>
            <w:pPr>
              <w:spacing w:after="40"/>
            </w:pPr>
            <w:r>
              <w:rPr>
                <w:sz w:val="17"/>
              </w:rPr>
              <w:t>Symbolic tests, numeric tests, limiting-case tests, sensitivity and stability results</w:t>
            </w:r>
          </w:p>
        </w:tc>
      </w:tr>
      <w:tr>
        <w:tc>
          <w:tcPr>
            <w:tcW w:type="dxa" w:w="2160"/>
            <w:vAlign w:val="center"/>
            <w:tcMar>
              <w:top w:w="80" w:type="dxa"/>
              <w:start w:w="90" w:type="dxa"/>
              <w:bottom w:w="80" w:type="dxa"/>
              <w:end w:w="90" w:type="dxa"/>
            </w:tcMar>
          </w:tcPr>
          <w:p>
            <w:pPr>
              <w:spacing w:after="40"/>
            </w:pPr>
            <w:r>
              <w:rPr>
                <w:sz w:val="17"/>
              </w:rPr>
              <w:t>Dependencies</w:t>
            </w:r>
          </w:p>
        </w:tc>
        <w:tc>
          <w:tcPr>
            <w:tcW w:type="dxa" w:w="7632"/>
            <w:vAlign w:val="center"/>
            <w:tcMar>
              <w:top w:w="80" w:type="dxa"/>
              <w:start w:w="90" w:type="dxa"/>
              <w:bottom w:w="80" w:type="dxa"/>
              <w:end w:w="90" w:type="dxa"/>
            </w:tcMar>
          </w:tcPr>
          <w:p>
            <w:pPr>
              <w:spacing w:after="40"/>
            </w:pPr>
            <w:r>
              <w:rPr>
                <w:sz w:val="17"/>
              </w:rPr>
              <w:t>Upstream equations, datasets, solvers, code and downstream consumers</w:t>
            </w:r>
          </w:p>
        </w:tc>
      </w:tr>
    </w:tbl>
    <w:p>
      <w:pPr>
        <w:pStyle w:val="Heading1"/>
      </w:pPr>
      <w:r>
        <w:t>6. Uncertainty, Calibration and Error Budget</w:t>
      </w:r>
    </w:p>
    <w:p>
      <w:r>
        <w:t>The platform shall maintain an explicit uncertainty budget. Accuracy, precision, confidence, statistical significance and model evidence must never be conflated.</w:t>
      </w:r>
    </w:p>
    <w:p>
      <w:pPr>
        <w:pStyle w:val="ListBullet"/>
        <w:spacing w:after="40"/>
      </w:pPr>
      <w:r>
        <w:t>Represent measurement, calibration, environmental, numerical, model-form and prior uncertainty separately where possible.</w:t>
      </w:r>
    </w:p>
    <w:p>
      <w:pPr>
        <w:pStyle w:val="ListBullet"/>
        <w:spacing w:after="40"/>
      </w:pPr>
      <w:r>
        <w:t>Maintain covariance and dependence information rather than treating sensors as independent by default.</w:t>
      </w:r>
    </w:p>
    <w:p>
      <w:pPr>
        <w:pStyle w:val="ListBullet"/>
        <w:spacing w:after="40"/>
      </w:pPr>
      <w:r>
        <w:t>Propagate uncertainty through transformations, simulations and derived observables.</w:t>
      </w:r>
    </w:p>
    <w:p>
      <w:pPr>
        <w:pStyle w:val="ListBullet"/>
        <w:spacing w:after="40"/>
      </w:pPr>
      <w:r>
        <w:t>Track systematic error sources and calibration drift over time.</w:t>
      </w:r>
    </w:p>
    <w:p>
      <w:pPr>
        <w:pStyle w:val="ListBullet"/>
        <w:spacing w:after="40"/>
      </w:pPr>
      <w:r>
        <w:t>Provide uncertainty decomposition in every promotion-ready report.</w:t>
      </w:r>
    </w:p>
    <w:p>
      <w:pPr>
        <w:jc w:val="center"/>
      </w:pPr>
      <w:r>
        <w:rPr>
          <w:b/>
        </w:rPr>
        <w:t>C_total = C_statistical + C_calibration + C_environmental + C_model + C_numerical + …</w:t>
      </w:r>
    </w:p>
    <w:p>
      <w:pPr>
        <w:pStyle w:val="Heading1"/>
      </w:pPr>
      <w:r>
        <w:t>7. Scientific Benchmark and Regression Observatory</w:t>
      </w:r>
    </w:p>
    <w:p>
      <w:r>
        <w:t>The benchmark suite is the scientific equivalent of a software regression suite. New models must reproduce established behavior within defined tolerances before being permitted to make novel claims.</w:t>
      </w:r>
    </w:p>
    <w:p>
      <w:pPr>
        <w:pStyle w:val="ListBullet"/>
        <w:spacing w:after="40"/>
      </w:pPr>
      <w:r>
        <w:t>Canonical benchmark problems for classical mechanics, electromagnetism, thermodynamics, statistical mechanics, quantum mechanics, GR, chemistry, materials, energy systems and astronomical inference.</w:t>
      </w:r>
    </w:p>
    <w:p>
      <w:pPr>
        <w:pStyle w:val="ListBullet"/>
        <w:spacing w:after="40"/>
      </w:pPr>
      <w:r>
        <w:t>Analytical solutions where available; high-accuracy reference solutions otherwise.</w:t>
      </w:r>
    </w:p>
    <w:p>
      <w:pPr>
        <w:pStyle w:val="ListBullet"/>
        <w:spacing w:after="40"/>
      </w:pPr>
      <w:r>
        <w:t>Known failure cases and pathological regimes.</w:t>
      </w:r>
    </w:p>
    <w:p>
      <w:pPr>
        <w:pStyle w:val="ListBullet"/>
        <w:spacing w:after="40"/>
      </w:pPr>
      <w:r>
        <w:t>Cross-solver agreement and numerical convergence tests.</w:t>
      </w:r>
    </w:p>
    <w:p>
      <w:pPr>
        <w:pStyle w:val="ListBullet"/>
        <w:spacing w:after="40"/>
      </w:pPr>
      <w:r>
        <w:t>Historical regression archive to detect scientific performance drift.</w:t>
      </w:r>
    </w:p>
    <w:p>
      <w:pPr>
        <w:pStyle w:val="ListBullet"/>
        <w:spacing w:after="40"/>
      </w:pPr>
      <w:r>
        <w:t>Benchmark versions and tolerance definitions under change control.</w:t>
      </w:r>
    </w:p>
    <w:p>
      <w:pPr>
        <w:pStyle w:val="Heading1"/>
      </w:pPr>
      <w:r>
        <w:t>8. Blind Validation and Anti-Confirmation-Bias Controls</w:t>
      </w:r>
    </w:p>
    <w:p>
      <w:pPr>
        <w:pStyle w:val="ListBullet"/>
        <w:spacing w:after="40"/>
      </w:pPr>
      <w:r>
        <w:t>Use blinded datasets, hidden injected signals and withheld validation sets where scientifically appropriate.</w:t>
      </w:r>
    </w:p>
    <w:p>
      <w:pPr>
        <w:pStyle w:val="ListBullet"/>
        <w:spacing w:after="40"/>
      </w:pPr>
      <w:r>
        <w:t>Separate exploration, model selection and final evaluation datasets.</w:t>
      </w:r>
    </w:p>
    <w:p>
      <w:pPr>
        <w:pStyle w:val="ListBullet"/>
        <w:spacing w:after="40"/>
      </w:pPr>
      <w:r>
        <w:t>Record whether analysts/agents had knowledge of expected labels or injected events.</w:t>
      </w:r>
    </w:p>
    <w:p>
      <w:pPr>
        <w:pStyle w:val="ListBullet"/>
        <w:spacing w:after="40"/>
      </w:pPr>
      <w:r>
        <w:t>Use pre-registered or frozen evaluation protocols for high-consequence discovery claims.</w:t>
      </w:r>
    </w:p>
    <w:p>
      <w:pPr>
        <w:pStyle w:val="ListBullet"/>
        <w:spacing w:after="40"/>
      </w:pPr>
      <w:r>
        <w:t>Prevent repeated tuning against the same public benchmark without penalty or fresh holdout evaluation.</w:t>
      </w:r>
    </w:p>
    <w:p>
      <w:pPr>
        <w:pStyle w:val="ListBullet"/>
        <w:spacing w:after="40"/>
      </w:pPr>
      <w:r>
        <w:t>Audit for data leakage between training, calibration, simulation and evaluation datasets.</w:t>
      </w:r>
    </w:p>
    <w:p>
      <w:pPr>
        <w:pStyle w:val="Heading1"/>
      </w:pPr>
      <w:r>
        <w:t>9. Model-Space Expansion and Completeness Testing</w:t>
      </w:r>
    </w:p>
    <w:p>
      <w:r>
        <w:t>A system that only optimizes within its current model library cannot reliably discover phenomena outside that library. The platform shall therefore test whether the residual is better explained by an omitted class of models.</w:t>
      </w:r>
    </w:p>
    <w:p>
      <w:pPr>
        <w:pStyle w:val="ListBullet"/>
        <w:spacing w:after="40"/>
      </w:pPr>
      <w:r>
        <w:t>Maintain explicit model families and assumptions graphs.</w:t>
      </w:r>
    </w:p>
    <w:p>
      <w:pPr>
        <w:pStyle w:val="ListBullet"/>
        <w:spacing w:after="40"/>
      </w:pPr>
      <w:r>
        <w:t>Track which model classes have been searched, partially searched or not represented.</w:t>
      </w:r>
    </w:p>
    <w:p>
      <w:pPr>
        <w:pStyle w:val="ListBullet"/>
        <w:spacing w:after="40"/>
      </w:pPr>
      <w:r>
        <w:t>Detect repeated residual structure that survives all currently represented model classes.</w:t>
      </w:r>
    </w:p>
    <w:p>
      <w:pPr>
        <w:pStyle w:val="ListBullet"/>
        <w:spacing w:after="40"/>
      </w:pPr>
      <w:r>
        <w:t>Trigger model-space expansion requests when conventional model coverage appears inadequate.</w:t>
      </w:r>
    </w:p>
    <w:p>
      <w:pPr>
        <w:pStyle w:val="ListBullet"/>
        <w:spacing w:after="40"/>
      </w:pPr>
      <w:r>
        <w:t>Prefer parsimonious extensions and penalize unnecessary flexibility.</w:t>
      </w:r>
    </w:p>
    <w:p>
      <w:pPr>
        <w:pStyle w:val="Heading1"/>
      </w:pPr>
      <w:r>
        <w:t>10. Automated Mathematical Discovery</w:t>
      </w:r>
    </w:p>
    <w:p>
      <w:pPr>
        <w:pStyle w:val="ListBullet"/>
        <w:spacing w:after="40"/>
      </w:pPr>
      <w:r>
        <w:t>Support symbolic regression and structure search for functions, differential equations, constitutive laws and dimensionless relationships.</w:t>
      </w:r>
    </w:p>
    <w:p>
      <w:pPr>
        <w:pStyle w:val="ListBullet"/>
        <w:spacing w:after="40"/>
      </w:pPr>
      <w:r>
        <w:t>Apply dimensional analysis before expensive search.</w:t>
      </w:r>
    </w:p>
    <w:p>
      <w:pPr>
        <w:pStyle w:val="ListBullet"/>
        <w:spacing w:after="40"/>
      </w:pPr>
      <w:r>
        <w:t>Apply symmetry and conservation filters where applicable.</w:t>
      </w:r>
    </w:p>
    <w:p>
      <w:pPr>
        <w:pStyle w:val="ListBullet"/>
        <w:spacing w:after="40"/>
      </w:pPr>
      <w:r>
        <w:t>Test candidate equations for numerical stability and benchmark recovery.</w:t>
      </w:r>
    </w:p>
    <w:p>
      <w:pPr>
        <w:pStyle w:val="ListBullet"/>
        <w:spacing w:after="40"/>
      </w:pPr>
      <w:r>
        <w:t>Require novel equations to generate at least one distinguishable prediction before promotion beyond “candidate”.</w:t>
      </w:r>
    </w:p>
    <w:p>
      <w:pPr>
        <w:pStyle w:val="ListBullet"/>
        <w:spacing w:after="40"/>
      </w:pPr>
      <w:r>
        <w:t>Preserve rejected mathematical forms and reasons for rejection in the negative-knowledge system.</w:t>
      </w:r>
    </w:p>
    <w:p>
      <w:pPr>
        <w:pStyle w:val="Heading1"/>
      </w:pPr>
      <w:r>
        <w:t>11. Causal Discovery and Intervention</w:t>
      </w:r>
    </w:p>
    <w:p>
      <w:pPr>
        <w:pStyle w:val="ListBullet"/>
        <w:spacing w:after="40"/>
      </w:pPr>
      <w:r>
        <w:t>Distinguish correlation, confounding, mediation and plausible causal mechanisms.</w:t>
      </w:r>
    </w:p>
    <w:p>
      <w:pPr>
        <w:pStyle w:val="ListBullet"/>
        <w:spacing w:after="40"/>
      </w:pPr>
      <w:r>
        <w:t>Support intervention-style simulation where the underlying scientific model allows it.</w:t>
      </w:r>
    </w:p>
    <w:p>
      <w:pPr>
        <w:pStyle w:val="ListBullet"/>
        <w:spacing w:after="40"/>
      </w:pPr>
      <w:r>
        <w:t>Track causal assumptions explicitly rather than silently inferring them from prediction accuracy.</w:t>
      </w:r>
    </w:p>
    <w:p>
      <w:pPr>
        <w:pStyle w:val="ListBullet"/>
        <w:spacing w:after="40"/>
      </w:pPr>
      <w:r>
        <w:t>Prioritize experiments that maximally discriminate between competing causal explanations.</w:t>
      </w:r>
    </w:p>
    <w:p>
      <w:pPr>
        <w:pStyle w:val="Heading1"/>
      </w:pPr>
      <w:r>
        <w:t>12. Hardware-in-the-Loop and Cyber-Physical Safety</w:t>
      </w:r>
    </w:p>
    <w:p>
      <w:pPr>
        <w:pStyle w:val="ListBullet"/>
        <w:spacing w:after="40"/>
      </w:pPr>
      <w:r>
        <w:t>Provide a hardware abstraction layer for sensors, actuators, power systems, environmental monitors and laboratory equipment.</w:t>
      </w:r>
    </w:p>
    <w:p>
      <w:pPr>
        <w:pStyle w:val="ListBullet"/>
        <w:spacing w:after="40"/>
      </w:pPr>
      <w:r>
        <w:t>Enforce independent safety envelopes for voltage, current, temperature, pressure, radiation, magnetic field, mechanical position, chemical exposure and other domain-specific limits.</w:t>
      </w:r>
    </w:p>
    <w:p>
      <w:pPr>
        <w:pStyle w:val="ListBullet"/>
        <w:spacing w:after="40"/>
      </w:pPr>
      <w:r>
        <w:t>Provide watchdogs, safe-state transitions, emergency shutdown and recovery procedures.</w:t>
      </w:r>
    </w:p>
    <w:p>
      <w:pPr>
        <w:pStyle w:val="ListBullet"/>
        <w:spacing w:after="40"/>
      </w:pPr>
      <w:r>
        <w:t>The discovery AI must not be capable of bypassing independent physical safety interlocks.</w:t>
      </w:r>
    </w:p>
    <w:p>
      <w:pPr>
        <w:pStyle w:val="ListBullet"/>
        <w:spacing w:after="40"/>
      </w:pPr>
      <w:r>
        <w:t>Simulation-only or shadow modes shall precede physical actuation.</w:t>
      </w:r>
    </w:p>
    <w:p>
      <w:pPr>
        <w:pStyle w:val="Heading1"/>
      </w:pPr>
      <w:r>
        <w:t>13. Self-Improvement Governance</w:t>
      </w:r>
    </w:p>
    <w:p>
      <w:r>
        <w:t>Self-improvement shall be treated as controlled scientific change, not unrestricted self-modification.</w:t>
      </w:r>
    </w:p>
    <w:p>
      <w:pPr>
        <w:pStyle w:val="ListNumber"/>
        <w:spacing w:after="40"/>
      </w:pPr>
      <w:r>
        <w:t>Generate a proposed change with provenance.</w:t>
      </w:r>
    </w:p>
    <w:p>
      <w:pPr>
        <w:pStyle w:val="ListNumber"/>
        <w:spacing w:after="40"/>
      </w:pPr>
      <w:r>
        <w:t>Run symbolic, numerical, security and benchmark validation in an isolated sandbox.</w:t>
      </w:r>
    </w:p>
    <w:p>
      <w:pPr>
        <w:pStyle w:val="ListNumber"/>
        <w:spacing w:after="40"/>
      </w:pPr>
      <w:r>
        <w:t>Run adversarial and regression tests.</w:t>
      </w:r>
    </w:p>
    <w:p>
      <w:pPr>
        <w:pStyle w:val="ListNumber"/>
        <w:spacing w:after="40"/>
      </w:pPr>
      <w:r>
        <w:t>Execute in shadow mode against representative workloads.</w:t>
      </w:r>
    </w:p>
    <w:p>
      <w:pPr>
        <w:pStyle w:val="ListNumber"/>
        <w:spacing w:after="40"/>
      </w:pPr>
      <w:r>
        <w:t>Compare energy, compute, accuracy, scientific yield and failure behavior with the parent version.</w:t>
      </w:r>
    </w:p>
    <w:p>
      <w:pPr>
        <w:pStyle w:val="ListNumber"/>
        <w:spacing w:after="40"/>
      </w:pPr>
      <w:r>
        <w:t>Obtain required human/organizational approval for the relevant assurance level.</w:t>
      </w:r>
    </w:p>
    <w:p>
      <w:pPr>
        <w:pStyle w:val="ListNumber"/>
        <w:spacing w:after="40"/>
      </w:pPr>
      <w:r>
        <w:t>Promote with a rollback point and immutable change record.</w:t>
      </w:r>
    </w:p>
    <w:p>
      <w:pPr>
        <w:pStyle w:val="Heading2"/>
      </w:pPr>
      <w:r>
        <w:t>Required change record</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2016"/>
            <w:vAlign w:val="center"/>
            <w:tcMar>
              <w:top w:w="80" w:type="dxa"/>
              <w:start w:w="90" w:type="dxa"/>
              <w:bottom w:w="80" w:type="dxa"/>
              <w:end w:w="90" w:type="dxa"/>
            </w:tcMar>
            <w:shd w:fill="1F4E78"/>
          </w:tcPr>
          <w:p>
            <w:pPr>
              <w:spacing w:after="40"/>
            </w:pPr>
            <w:r>
              <w:rPr>
                <w:b/>
                <w:sz w:val="17"/>
              </w:rPr>
              <w:t>Element</w:t>
            </w:r>
          </w:p>
        </w:tc>
        <w:tc>
          <w:tcPr>
            <w:tcW w:type="dxa" w:w="7776"/>
            <w:vAlign w:val="center"/>
            <w:tcMar>
              <w:top w:w="80" w:type="dxa"/>
              <w:start w:w="90" w:type="dxa"/>
              <w:bottom w:w="80" w:type="dxa"/>
              <w:end w:w="90" w:type="dxa"/>
            </w:tcMar>
            <w:shd w:fill="1F4E78"/>
          </w:tcPr>
          <w:p>
            <w:pPr>
              <w:spacing w:after="40"/>
            </w:pPr>
            <w:r>
              <w:rPr>
                <w:b/>
                <w:sz w:val="17"/>
              </w:rPr>
              <w:t>Requirement</w:t>
            </w:r>
          </w:p>
        </w:tc>
      </w:tr>
      <w:tr>
        <w:tc>
          <w:tcPr>
            <w:tcW w:type="dxa" w:w="2016"/>
            <w:vAlign w:val="center"/>
            <w:tcMar>
              <w:top w:w="80" w:type="dxa"/>
              <w:start w:w="90" w:type="dxa"/>
              <w:bottom w:w="80" w:type="dxa"/>
              <w:end w:w="90" w:type="dxa"/>
            </w:tcMar>
          </w:tcPr>
          <w:p>
            <w:pPr>
              <w:spacing w:after="40"/>
            </w:pPr>
            <w:r>
              <w:rPr>
                <w:sz w:val="17"/>
              </w:rPr>
              <w:t>Identity</w:t>
            </w:r>
          </w:p>
        </w:tc>
        <w:tc>
          <w:tcPr>
            <w:tcW w:type="dxa" w:w="7776"/>
            <w:vAlign w:val="center"/>
            <w:tcMar>
              <w:top w:w="80" w:type="dxa"/>
              <w:start w:w="90" w:type="dxa"/>
              <w:bottom w:w="80" w:type="dxa"/>
              <w:end w:w="90" w:type="dxa"/>
            </w:tcMar>
          </w:tcPr>
          <w:p>
            <w:pPr>
              <w:spacing w:after="40"/>
            </w:pPr>
            <w:r>
              <w:rPr>
                <w:sz w:val="17"/>
              </w:rPr>
              <w:t>Change ID, parent version, new version</w:t>
            </w:r>
          </w:p>
        </w:tc>
      </w:tr>
      <w:tr>
        <w:tc>
          <w:tcPr>
            <w:tcW w:type="dxa" w:w="2016"/>
            <w:vAlign w:val="center"/>
            <w:tcMar>
              <w:top w:w="80" w:type="dxa"/>
              <w:start w:w="90" w:type="dxa"/>
              <w:bottom w:w="80" w:type="dxa"/>
              <w:end w:w="90" w:type="dxa"/>
            </w:tcMar>
          </w:tcPr>
          <w:p>
            <w:pPr>
              <w:spacing w:after="40"/>
            </w:pPr>
            <w:r>
              <w:rPr>
                <w:sz w:val="17"/>
              </w:rPr>
              <w:t>Rationale</w:t>
            </w:r>
          </w:p>
        </w:tc>
        <w:tc>
          <w:tcPr>
            <w:tcW w:type="dxa" w:w="7776"/>
            <w:vAlign w:val="center"/>
            <w:tcMar>
              <w:top w:w="80" w:type="dxa"/>
              <w:start w:w="90" w:type="dxa"/>
              <w:bottom w:w="80" w:type="dxa"/>
              <w:end w:w="90" w:type="dxa"/>
            </w:tcMar>
          </w:tcPr>
          <w:p>
            <w:pPr>
              <w:spacing w:after="40"/>
            </w:pPr>
            <w:r>
              <w:rPr>
                <w:sz w:val="17"/>
              </w:rPr>
              <w:t>Why the change is being proposed</w:t>
            </w:r>
          </w:p>
        </w:tc>
      </w:tr>
      <w:tr>
        <w:tc>
          <w:tcPr>
            <w:tcW w:type="dxa" w:w="2016"/>
            <w:vAlign w:val="center"/>
            <w:tcMar>
              <w:top w:w="80" w:type="dxa"/>
              <w:start w:w="90" w:type="dxa"/>
              <w:bottom w:w="80" w:type="dxa"/>
              <w:end w:w="90" w:type="dxa"/>
            </w:tcMar>
          </w:tcPr>
          <w:p>
            <w:pPr>
              <w:spacing w:after="40"/>
            </w:pPr>
            <w:r>
              <w:rPr>
                <w:sz w:val="17"/>
              </w:rPr>
              <w:t>Scope</w:t>
            </w:r>
          </w:p>
        </w:tc>
        <w:tc>
          <w:tcPr>
            <w:tcW w:type="dxa" w:w="7776"/>
            <w:vAlign w:val="center"/>
            <w:tcMar>
              <w:top w:w="80" w:type="dxa"/>
              <w:start w:w="90" w:type="dxa"/>
              <w:bottom w:w="80" w:type="dxa"/>
              <w:end w:w="90" w:type="dxa"/>
            </w:tcMar>
          </w:tcPr>
          <w:p>
            <w:pPr>
              <w:spacing w:after="40"/>
            </w:pPr>
            <w:r>
              <w:rPr>
                <w:sz w:val="17"/>
              </w:rPr>
              <w:t>Equations, code, data, models, policies affected</w:t>
            </w:r>
          </w:p>
        </w:tc>
      </w:tr>
      <w:tr>
        <w:tc>
          <w:tcPr>
            <w:tcW w:type="dxa" w:w="2016"/>
            <w:vAlign w:val="center"/>
            <w:tcMar>
              <w:top w:w="80" w:type="dxa"/>
              <w:start w:w="90" w:type="dxa"/>
              <w:bottom w:w="80" w:type="dxa"/>
              <w:end w:w="90" w:type="dxa"/>
            </w:tcMar>
          </w:tcPr>
          <w:p>
            <w:pPr>
              <w:spacing w:after="40"/>
            </w:pPr>
            <w:r>
              <w:rPr>
                <w:sz w:val="17"/>
              </w:rPr>
              <w:t>Validation</w:t>
            </w:r>
          </w:p>
        </w:tc>
        <w:tc>
          <w:tcPr>
            <w:tcW w:type="dxa" w:w="7776"/>
            <w:vAlign w:val="center"/>
            <w:tcMar>
              <w:top w:w="80" w:type="dxa"/>
              <w:start w:w="90" w:type="dxa"/>
              <w:bottom w:w="80" w:type="dxa"/>
              <w:end w:w="90" w:type="dxa"/>
            </w:tcMar>
          </w:tcPr>
          <w:p>
            <w:pPr>
              <w:spacing w:after="40"/>
            </w:pPr>
            <w:r>
              <w:rPr>
                <w:sz w:val="17"/>
              </w:rPr>
              <w:t>Benchmark and regression results</w:t>
            </w:r>
          </w:p>
        </w:tc>
      </w:tr>
      <w:tr>
        <w:tc>
          <w:tcPr>
            <w:tcW w:type="dxa" w:w="2016"/>
            <w:vAlign w:val="center"/>
            <w:tcMar>
              <w:top w:w="80" w:type="dxa"/>
              <w:start w:w="90" w:type="dxa"/>
              <w:bottom w:w="80" w:type="dxa"/>
              <w:end w:w="90" w:type="dxa"/>
            </w:tcMar>
          </w:tcPr>
          <w:p>
            <w:pPr>
              <w:spacing w:after="40"/>
            </w:pPr>
            <w:r>
              <w:rPr>
                <w:sz w:val="17"/>
              </w:rPr>
              <w:t>Risk</w:t>
            </w:r>
          </w:p>
        </w:tc>
        <w:tc>
          <w:tcPr>
            <w:tcW w:type="dxa" w:w="7776"/>
            <w:vAlign w:val="center"/>
            <w:tcMar>
              <w:top w:w="80" w:type="dxa"/>
              <w:start w:w="90" w:type="dxa"/>
              <w:bottom w:w="80" w:type="dxa"/>
              <w:end w:w="90" w:type="dxa"/>
            </w:tcMar>
          </w:tcPr>
          <w:p>
            <w:pPr>
              <w:spacing w:after="40"/>
            </w:pPr>
            <w:r>
              <w:rPr>
                <w:sz w:val="17"/>
              </w:rPr>
              <w:t>Known failure modes, safety impacts, security impacts</w:t>
            </w:r>
          </w:p>
        </w:tc>
      </w:tr>
      <w:tr>
        <w:tc>
          <w:tcPr>
            <w:tcW w:type="dxa" w:w="2016"/>
            <w:vAlign w:val="center"/>
            <w:tcMar>
              <w:top w:w="80" w:type="dxa"/>
              <w:start w:w="90" w:type="dxa"/>
              <w:bottom w:w="80" w:type="dxa"/>
              <w:end w:w="90" w:type="dxa"/>
            </w:tcMar>
          </w:tcPr>
          <w:p>
            <w:pPr>
              <w:spacing w:after="40"/>
            </w:pPr>
            <w:r>
              <w:rPr>
                <w:sz w:val="17"/>
              </w:rPr>
              <w:t>Economics</w:t>
            </w:r>
          </w:p>
        </w:tc>
        <w:tc>
          <w:tcPr>
            <w:tcW w:type="dxa" w:w="7776"/>
            <w:vAlign w:val="center"/>
            <w:tcMar>
              <w:top w:w="80" w:type="dxa"/>
              <w:start w:w="90" w:type="dxa"/>
              <w:bottom w:w="80" w:type="dxa"/>
              <w:end w:w="90" w:type="dxa"/>
            </w:tcMar>
          </w:tcPr>
          <w:p>
            <w:pPr>
              <w:spacing w:after="40"/>
            </w:pPr>
            <w:r>
              <w:rPr>
                <w:sz w:val="17"/>
              </w:rPr>
              <w:t>Compute, energy, materials and operating cost impact</w:t>
            </w:r>
          </w:p>
        </w:tc>
      </w:tr>
      <w:tr>
        <w:tc>
          <w:tcPr>
            <w:tcW w:type="dxa" w:w="2016"/>
            <w:vAlign w:val="center"/>
            <w:tcMar>
              <w:top w:w="80" w:type="dxa"/>
              <w:start w:w="90" w:type="dxa"/>
              <w:bottom w:w="80" w:type="dxa"/>
              <w:end w:w="90" w:type="dxa"/>
            </w:tcMar>
          </w:tcPr>
          <w:p>
            <w:pPr>
              <w:spacing w:after="40"/>
            </w:pPr>
            <w:r>
              <w:rPr>
                <w:sz w:val="17"/>
              </w:rPr>
              <w:t>Disposition</w:t>
            </w:r>
          </w:p>
        </w:tc>
        <w:tc>
          <w:tcPr>
            <w:tcW w:type="dxa" w:w="7776"/>
            <w:vAlign w:val="center"/>
            <w:tcMar>
              <w:top w:w="80" w:type="dxa"/>
              <w:start w:w="90" w:type="dxa"/>
              <w:bottom w:w="80" w:type="dxa"/>
              <w:end w:w="90" w:type="dxa"/>
            </w:tcMar>
          </w:tcPr>
          <w:p>
            <w:pPr>
              <w:spacing w:after="40"/>
            </w:pPr>
            <w:r>
              <w:rPr>
                <w:sz w:val="17"/>
              </w:rPr>
              <w:t>Accepted, rejected, held, rolled back</w:t>
            </w:r>
          </w:p>
        </w:tc>
      </w:tr>
      <w:tr>
        <w:tc>
          <w:tcPr>
            <w:tcW w:type="dxa" w:w="2016"/>
            <w:vAlign w:val="center"/>
            <w:tcMar>
              <w:top w:w="80" w:type="dxa"/>
              <w:start w:w="90" w:type="dxa"/>
              <w:bottom w:w="80" w:type="dxa"/>
              <w:end w:w="90" w:type="dxa"/>
            </w:tcMar>
          </w:tcPr>
          <w:p>
            <w:pPr>
              <w:spacing w:after="40"/>
            </w:pPr>
            <w:r>
              <w:rPr>
                <w:sz w:val="17"/>
              </w:rPr>
              <w:t>Reproducibility</w:t>
            </w:r>
          </w:p>
        </w:tc>
        <w:tc>
          <w:tcPr>
            <w:tcW w:type="dxa" w:w="7776"/>
            <w:vAlign w:val="center"/>
            <w:tcMar>
              <w:top w:w="80" w:type="dxa"/>
              <w:start w:w="90" w:type="dxa"/>
              <w:bottom w:w="80" w:type="dxa"/>
              <w:end w:w="90" w:type="dxa"/>
            </w:tcMar>
          </w:tcPr>
          <w:p>
            <w:pPr>
              <w:spacing w:after="40"/>
            </w:pPr>
            <w:r>
              <w:rPr>
                <w:sz w:val="17"/>
              </w:rPr>
              <w:t>Environment, seed, artifact hashes and execution record</w:t>
            </w:r>
          </w:p>
        </w:tc>
      </w:tr>
    </w:tbl>
    <w:p>
      <w:pPr>
        <w:pStyle w:val="Heading1"/>
      </w:pPr>
      <w:r>
        <w:t>14. Negative Knowledge and Failure Memory</w:t>
      </w:r>
    </w:p>
    <w:p>
      <w:r>
        <w:t>The platform shall preserve failed knowledge as a first-class asset. Repeated rediscovery of previously invalidated paths is a systemic efficiency failure.</w:t>
      </w:r>
    </w:p>
    <w:p>
      <w:pPr>
        <w:pStyle w:val="ListBullet"/>
        <w:spacing w:after="40"/>
      </w:pPr>
      <w:r>
        <w:t>Rejected equations and model structures.</w:t>
      </w:r>
    </w:p>
    <w:p>
      <w:pPr>
        <w:pStyle w:val="ListBullet"/>
        <w:spacing w:after="40"/>
      </w:pPr>
      <w:r>
        <w:t>Failed experiments and failed replications.</w:t>
      </w:r>
    </w:p>
    <w:p>
      <w:pPr>
        <w:pStyle w:val="ListBullet"/>
        <w:spacing w:after="40"/>
      </w:pPr>
      <w:r>
        <w:t>Numerically unstable regimes.</w:t>
      </w:r>
    </w:p>
    <w:p>
      <w:pPr>
        <w:pStyle w:val="ListBullet"/>
        <w:spacing w:after="40"/>
      </w:pPr>
      <w:r>
        <w:t>Invalid parameter regions and unsupported approximations.</w:t>
      </w:r>
    </w:p>
    <w:p>
      <w:pPr>
        <w:pStyle w:val="ListBullet"/>
        <w:spacing w:after="40"/>
      </w:pPr>
      <w:r>
        <w:t>Data artifacts and known confounders.</w:t>
      </w:r>
    </w:p>
    <w:p>
      <w:pPr>
        <w:pStyle w:val="ListBullet"/>
        <w:spacing w:after="40"/>
      </w:pPr>
      <w:r>
        <w:t>Reasons, evidence and conditions under which the failure occurred.</w:t>
      </w:r>
    </w:p>
    <w:p>
      <w:pPr>
        <w:pStyle w:val="Heading1"/>
      </w:pPr>
      <w:r>
        <w:t>15. Scientific Knowledge Graph and Provenance</w:t>
      </w:r>
    </w:p>
    <w:p>
      <w:r>
        <w:t>Every material claim shall be traceable through an evidence graph connecting observation, equation, model, parameter, simulation, experiment and conclusion.</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2592"/>
            <w:vAlign w:val="center"/>
            <w:tcMar>
              <w:top w:w="80" w:type="dxa"/>
              <w:start w:w="90" w:type="dxa"/>
              <w:bottom w:w="80" w:type="dxa"/>
              <w:end w:w="90" w:type="dxa"/>
            </w:tcMar>
            <w:shd w:fill="1F4E78"/>
          </w:tcPr>
          <w:p>
            <w:pPr>
              <w:spacing w:after="40"/>
            </w:pPr>
            <w:r>
              <w:rPr>
                <w:b/>
                <w:sz w:val="17"/>
              </w:rPr>
              <w:t>Relationship</w:t>
            </w:r>
          </w:p>
        </w:tc>
        <w:tc>
          <w:tcPr>
            <w:tcW w:type="dxa" w:w="7200"/>
            <w:vAlign w:val="center"/>
            <w:tcMar>
              <w:top w:w="80" w:type="dxa"/>
              <w:start w:w="90" w:type="dxa"/>
              <w:bottom w:w="80" w:type="dxa"/>
              <w:end w:w="90" w:type="dxa"/>
            </w:tcMar>
            <w:shd w:fill="1F4E78"/>
          </w:tcPr>
          <w:p>
            <w:pPr>
              <w:spacing w:after="40"/>
            </w:pPr>
            <w:r>
              <w:rPr>
                <w:b/>
                <w:sz w:val="17"/>
              </w:rPr>
              <w:t>Meaning</w:t>
            </w:r>
          </w:p>
        </w:tc>
      </w:tr>
      <w:tr>
        <w:tc>
          <w:tcPr>
            <w:tcW w:type="dxa" w:w="2592"/>
            <w:vAlign w:val="center"/>
            <w:tcMar>
              <w:top w:w="80" w:type="dxa"/>
              <w:start w:w="90" w:type="dxa"/>
              <w:bottom w:w="80" w:type="dxa"/>
              <w:end w:w="90" w:type="dxa"/>
            </w:tcMar>
          </w:tcPr>
          <w:p>
            <w:pPr>
              <w:spacing w:after="40"/>
            </w:pPr>
            <w:r>
              <w:rPr>
                <w:sz w:val="17"/>
              </w:rPr>
              <w:t>supports</w:t>
            </w:r>
          </w:p>
        </w:tc>
        <w:tc>
          <w:tcPr>
            <w:tcW w:type="dxa" w:w="7200"/>
            <w:vAlign w:val="center"/>
            <w:tcMar>
              <w:top w:w="80" w:type="dxa"/>
              <w:start w:w="90" w:type="dxa"/>
              <w:bottom w:w="80" w:type="dxa"/>
              <w:end w:w="90" w:type="dxa"/>
            </w:tcMar>
          </w:tcPr>
          <w:p>
            <w:pPr>
              <w:spacing w:after="40"/>
            </w:pPr>
            <w:r>
              <w:rPr>
                <w:sz w:val="17"/>
              </w:rPr>
              <w:t>Evidence increases support for a claim or model</w:t>
            </w:r>
          </w:p>
        </w:tc>
      </w:tr>
      <w:tr>
        <w:tc>
          <w:tcPr>
            <w:tcW w:type="dxa" w:w="2592"/>
            <w:vAlign w:val="center"/>
            <w:tcMar>
              <w:top w:w="80" w:type="dxa"/>
              <w:start w:w="90" w:type="dxa"/>
              <w:bottom w:w="80" w:type="dxa"/>
              <w:end w:w="90" w:type="dxa"/>
            </w:tcMar>
          </w:tcPr>
          <w:p>
            <w:pPr>
              <w:spacing w:after="40"/>
            </w:pPr>
            <w:r>
              <w:rPr>
                <w:sz w:val="17"/>
              </w:rPr>
              <w:t>contradicts</w:t>
            </w:r>
          </w:p>
        </w:tc>
        <w:tc>
          <w:tcPr>
            <w:tcW w:type="dxa" w:w="7200"/>
            <w:vAlign w:val="center"/>
            <w:tcMar>
              <w:top w:w="80" w:type="dxa"/>
              <w:start w:w="90" w:type="dxa"/>
              <w:bottom w:w="80" w:type="dxa"/>
              <w:end w:w="90" w:type="dxa"/>
            </w:tcMar>
          </w:tcPr>
          <w:p>
            <w:pPr>
              <w:spacing w:after="40"/>
            </w:pPr>
            <w:r>
              <w:rPr>
                <w:sz w:val="17"/>
              </w:rPr>
              <w:t>Evidence is inconsistent with a claim/model under stated assumptions</w:t>
            </w:r>
          </w:p>
        </w:tc>
      </w:tr>
      <w:tr>
        <w:tc>
          <w:tcPr>
            <w:tcW w:type="dxa" w:w="2592"/>
            <w:vAlign w:val="center"/>
            <w:tcMar>
              <w:top w:w="80" w:type="dxa"/>
              <w:start w:w="90" w:type="dxa"/>
              <w:bottom w:w="80" w:type="dxa"/>
              <w:end w:w="90" w:type="dxa"/>
            </w:tcMar>
          </w:tcPr>
          <w:p>
            <w:pPr>
              <w:spacing w:after="40"/>
            </w:pPr>
            <w:r>
              <w:rPr>
                <w:sz w:val="17"/>
              </w:rPr>
              <w:t>derived-from</w:t>
            </w:r>
          </w:p>
        </w:tc>
        <w:tc>
          <w:tcPr>
            <w:tcW w:type="dxa" w:w="7200"/>
            <w:vAlign w:val="center"/>
            <w:tcMar>
              <w:top w:w="80" w:type="dxa"/>
              <w:start w:w="90" w:type="dxa"/>
              <w:bottom w:w="80" w:type="dxa"/>
              <w:end w:w="90" w:type="dxa"/>
            </w:tcMar>
          </w:tcPr>
          <w:p>
            <w:pPr>
              <w:spacing w:after="40"/>
            </w:pPr>
            <w:r>
              <w:rPr>
                <w:sz w:val="17"/>
              </w:rPr>
              <w:t>Artifact or result was mathematically/computationally derived from another</w:t>
            </w:r>
          </w:p>
        </w:tc>
      </w:tr>
      <w:tr>
        <w:tc>
          <w:tcPr>
            <w:tcW w:type="dxa" w:w="2592"/>
            <w:vAlign w:val="center"/>
            <w:tcMar>
              <w:top w:w="80" w:type="dxa"/>
              <w:start w:w="90" w:type="dxa"/>
              <w:bottom w:w="80" w:type="dxa"/>
              <w:end w:w="90" w:type="dxa"/>
            </w:tcMar>
          </w:tcPr>
          <w:p>
            <w:pPr>
              <w:spacing w:after="40"/>
            </w:pPr>
            <w:r>
              <w:rPr>
                <w:sz w:val="17"/>
              </w:rPr>
              <w:t>depends-on</w:t>
            </w:r>
          </w:p>
        </w:tc>
        <w:tc>
          <w:tcPr>
            <w:tcW w:type="dxa" w:w="7200"/>
            <w:vAlign w:val="center"/>
            <w:tcMar>
              <w:top w:w="80" w:type="dxa"/>
              <w:start w:w="90" w:type="dxa"/>
              <w:bottom w:w="80" w:type="dxa"/>
              <w:end w:w="90" w:type="dxa"/>
            </w:tcMar>
          </w:tcPr>
          <w:p>
            <w:pPr>
              <w:spacing w:after="40"/>
            </w:pPr>
            <w:r>
              <w:rPr>
                <w:sz w:val="17"/>
              </w:rPr>
              <w:t>Operational dependency</w:t>
            </w:r>
          </w:p>
        </w:tc>
      </w:tr>
      <w:tr>
        <w:tc>
          <w:tcPr>
            <w:tcW w:type="dxa" w:w="2592"/>
            <w:vAlign w:val="center"/>
            <w:tcMar>
              <w:top w:w="80" w:type="dxa"/>
              <w:start w:w="90" w:type="dxa"/>
              <w:bottom w:w="80" w:type="dxa"/>
              <w:end w:w="90" w:type="dxa"/>
            </w:tcMar>
          </w:tcPr>
          <w:p>
            <w:pPr>
              <w:spacing w:after="40"/>
            </w:pPr>
            <w:r>
              <w:rPr>
                <w:sz w:val="17"/>
              </w:rPr>
              <w:t>special-case-of</w:t>
            </w:r>
          </w:p>
        </w:tc>
        <w:tc>
          <w:tcPr>
            <w:tcW w:type="dxa" w:w="7200"/>
            <w:vAlign w:val="center"/>
            <w:tcMar>
              <w:top w:w="80" w:type="dxa"/>
              <w:start w:w="90" w:type="dxa"/>
              <w:bottom w:w="80" w:type="dxa"/>
              <w:end w:w="90" w:type="dxa"/>
            </w:tcMar>
          </w:tcPr>
          <w:p>
            <w:pPr>
              <w:spacing w:after="40"/>
            </w:pPr>
            <w:r>
              <w:rPr>
                <w:sz w:val="17"/>
              </w:rPr>
              <w:t>Model is a constrained case of another model</w:t>
            </w:r>
          </w:p>
        </w:tc>
      </w:tr>
      <w:tr>
        <w:tc>
          <w:tcPr>
            <w:tcW w:type="dxa" w:w="2592"/>
            <w:vAlign w:val="center"/>
            <w:tcMar>
              <w:top w:w="80" w:type="dxa"/>
              <w:start w:w="90" w:type="dxa"/>
              <w:bottom w:w="80" w:type="dxa"/>
              <w:end w:w="90" w:type="dxa"/>
            </w:tcMar>
          </w:tcPr>
          <w:p>
            <w:pPr>
              <w:spacing w:after="40"/>
            </w:pPr>
            <w:r>
              <w:rPr>
                <w:sz w:val="17"/>
              </w:rPr>
              <w:t>experimentally-tested-by</w:t>
            </w:r>
          </w:p>
        </w:tc>
        <w:tc>
          <w:tcPr>
            <w:tcW w:type="dxa" w:w="7200"/>
            <w:vAlign w:val="center"/>
            <w:tcMar>
              <w:top w:w="80" w:type="dxa"/>
              <w:start w:w="90" w:type="dxa"/>
              <w:bottom w:w="80" w:type="dxa"/>
              <w:end w:w="90" w:type="dxa"/>
            </w:tcMar>
          </w:tcPr>
          <w:p>
            <w:pPr>
              <w:spacing w:after="40"/>
            </w:pPr>
            <w:r>
              <w:rPr>
                <w:sz w:val="17"/>
              </w:rPr>
              <w:t>Claim/model has a linked experimental assessment</w:t>
            </w:r>
          </w:p>
        </w:tc>
      </w:tr>
      <w:tr>
        <w:tc>
          <w:tcPr>
            <w:tcW w:type="dxa" w:w="2592"/>
            <w:vAlign w:val="center"/>
            <w:tcMar>
              <w:top w:w="80" w:type="dxa"/>
              <w:start w:w="90" w:type="dxa"/>
              <w:bottom w:w="80" w:type="dxa"/>
              <w:end w:w="90" w:type="dxa"/>
            </w:tcMar>
          </w:tcPr>
          <w:p>
            <w:pPr>
              <w:spacing w:after="40"/>
            </w:pPr>
            <w:r>
              <w:rPr>
                <w:sz w:val="17"/>
              </w:rPr>
              <w:t>invalidated-by</w:t>
            </w:r>
          </w:p>
        </w:tc>
        <w:tc>
          <w:tcPr>
            <w:tcW w:type="dxa" w:w="7200"/>
            <w:vAlign w:val="center"/>
            <w:tcMar>
              <w:top w:w="80" w:type="dxa"/>
              <w:start w:w="90" w:type="dxa"/>
              <w:bottom w:w="80" w:type="dxa"/>
              <w:end w:w="90" w:type="dxa"/>
            </w:tcMar>
          </w:tcPr>
          <w:p>
            <w:pPr>
              <w:spacing w:after="40"/>
            </w:pPr>
            <w:r>
              <w:rPr>
                <w:sz w:val="17"/>
              </w:rPr>
              <w:t>A claim/model failed a defined validation or falsification condition</w:t>
            </w:r>
          </w:p>
        </w:tc>
      </w:tr>
    </w:tbl>
    <w:p>
      <w:pPr>
        <w:pStyle w:val="Heading1"/>
      </w:pPr>
      <w:r>
        <w:t>16. Adversarial Science and Red-Team Engine</w:t>
      </w:r>
    </w:p>
    <w:p>
      <w:pPr>
        <w:pStyle w:val="ListBullet"/>
        <w:spacing w:after="40"/>
      </w:pPr>
      <w:r>
        <w:t>Inject synthetic anomalies and adversarial signals.</w:t>
      </w:r>
    </w:p>
    <w:p>
      <w:pPr>
        <w:pStyle w:val="ListBullet"/>
        <w:spacing w:after="40"/>
      </w:pPr>
      <w:r>
        <w:t>Stress correlated noise, calibration drift, out-of-distribution observations and mislabeled data.</w:t>
      </w:r>
    </w:p>
    <w:p>
      <w:pPr>
        <w:pStyle w:val="ListBullet"/>
        <w:spacing w:after="40"/>
      </w:pPr>
      <w:r>
        <w:t>Attempt to generate false discoveries deliberately.</w:t>
      </w:r>
    </w:p>
    <w:p>
      <w:pPr>
        <w:pStyle w:val="ListBullet"/>
        <w:spacing w:after="40"/>
      </w:pPr>
      <w:r>
        <w:t>Attempt to force the model-selection system toward an exotic explanation through contaminated or strategically selected inputs.</w:t>
      </w:r>
    </w:p>
    <w:p>
      <w:pPr>
        <w:pStyle w:val="ListBullet"/>
        <w:spacing w:after="40"/>
      </w:pPr>
      <w:r>
        <w:t>Record red-team findings as permanent regression tests.</w:t>
      </w:r>
    </w:p>
    <w:p>
      <w:pPr>
        <w:pStyle w:val="Heading1"/>
      </w:pPr>
      <w:r>
        <w:t>17. Out-of-Distribution and “I Don’t Know” Controls</w:t>
      </w:r>
    </w:p>
    <w:p>
      <w:pPr>
        <w:pStyle w:val="ListBullet"/>
        <w:spacing w:after="40"/>
      </w:pPr>
      <w:r>
        <w:t>Detect when an observation lies outside the validated domain of training data, simulations or physical approximations.</w:t>
      </w:r>
    </w:p>
    <w:p>
      <w:pPr>
        <w:pStyle w:val="ListBullet"/>
        <w:spacing w:after="40"/>
      </w:pPr>
      <w:r>
        <w:t>Allow an explicit unresolved state without forcing a classification.</w:t>
      </w:r>
    </w:p>
    <w:p>
      <w:pPr>
        <w:pStyle w:val="ListBullet"/>
        <w:spacing w:after="40"/>
      </w:pPr>
      <w:r>
        <w:t>Propagate epistemic uncertainty when the model family itself is uncertain.</w:t>
      </w:r>
    </w:p>
    <w:p>
      <w:pPr>
        <w:pStyle w:val="ListBullet"/>
        <w:spacing w:after="40"/>
      </w:pPr>
      <w:r>
        <w:t>Escalate novel regimes to model-space expansion rather than overconfident extrapolation.</w:t>
      </w:r>
    </w:p>
    <w:p>
      <w:pPr>
        <w:pStyle w:val="Heading1"/>
      </w:pPr>
      <w:r>
        <w:t>18. Experiment Selection and Resource Economics</w:t>
      </w:r>
    </w:p>
    <w:p>
      <w:r>
        <w:t>Experiment planning shall balance information value against energy, compute, time, material, risk and financial cost.</w:t>
      </w:r>
    </w:p>
    <w:p>
      <w:pPr>
        <w:jc w:val="center"/>
      </w:pPr>
      <w:r>
        <w:rPr>
          <w:b/>
        </w:rPr>
        <w:t>Priority(a) = Expected Information Gain / Total Resource Cost, subject to safety and feasibility constraints</w:t>
      </w:r>
    </w:p>
    <w:p>
      <w:pPr>
        <w:pStyle w:val="ListBullet"/>
        <w:spacing w:after="40"/>
      </w:pPr>
      <w:r>
        <w:t>Calculate information gain relative to current hypothesis uncertainty.</w:t>
      </w:r>
    </w:p>
    <w:p>
      <w:pPr>
        <w:pStyle w:val="ListBullet"/>
        <w:spacing w:after="40"/>
      </w:pPr>
      <w:r>
        <w:t>Estimate expected energy/exergy consumption and compute cost.</w:t>
      </w:r>
    </w:p>
    <w:p>
      <w:pPr>
        <w:pStyle w:val="ListBullet"/>
        <w:spacing w:after="40"/>
      </w:pPr>
      <w:r>
        <w:t>Estimate probability of successful execution and expected discrimination value.</w:t>
      </w:r>
    </w:p>
    <w:p>
      <w:pPr>
        <w:pStyle w:val="ListBullet"/>
        <w:spacing w:after="40"/>
      </w:pPr>
      <w:r>
        <w:t>Prefer experiments that eliminate multiple hypotheses at once.</w:t>
      </w:r>
    </w:p>
    <w:p>
      <w:pPr>
        <w:pStyle w:val="ListBullet"/>
        <w:spacing w:after="40"/>
      </w:pPr>
      <w:r>
        <w:t>Continuously measure actual versus predicted experiment value to improve scheduling policies.</w:t>
      </w:r>
    </w:p>
    <w:p>
      <w:pPr>
        <w:pStyle w:val="Heading1"/>
      </w:pPr>
      <w:r>
        <w:t>19. Materials, Chemistry and Fabrication Assurance</w:t>
      </w:r>
    </w:p>
    <w:p>
      <w:pPr>
        <w:pStyle w:val="ListBullet"/>
        <w:spacing w:after="40"/>
      </w:pPr>
      <w:r>
        <w:t>Keep chemistry, materials science and nuclear processes distinct in the model hierarchy while connecting them through energy, entropy and state transitions.</w:t>
      </w:r>
    </w:p>
    <w:p>
      <w:pPr>
        <w:pStyle w:val="ListBullet"/>
        <w:spacing w:after="40"/>
      </w:pPr>
      <w:r>
        <w:t>Track material state variables, composition, temperature, stress, radiation exposure, surface condition and aging where relevant.</w:t>
      </w:r>
    </w:p>
    <w:p>
      <w:pPr>
        <w:pStyle w:val="ListBullet"/>
        <w:spacing w:after="40"/>
      </w:pPr>
      <w:r>
        <w:t>Link predicted material properties to actual fabrication batches and measured test results.</w:t>
      </w:r>
    </w:p>
    <w:p>
      <w:pPr>
        <w:pStyle w:val="ListBullet"/>
        <w:spacing w:after="40"/>
      </w:pPr>
      <w:r>
        <w:t>Do not infer production readiness from simulation performance alone.</w:t>
      </w:r>
    </w:p>
    <w:p>
      <w:pPr>
        <w:pStyle w:val="Heading1"/>
      </w:pPr>
      <w:r>
        <w:t>20. Scientific-to-Engineering Translation</w:t>
      </w:r>
    </w:p>
    <w:p>
      <w:pPr>
        <w:pStyle w:val="ListBullet"/>
        <w:spacing w:after="40"/>
      </w:pPr>
      <w:r>
        <w:t>Maintain separate readiness criteria for theoretical plausibility, simulation validation, laboratory replication, prototype demonstration and field performance.</w:t>
      </w:r>
    </w:p>
    <w:p>
      <w:pPr>
        <w:pStyle w:val="ListBullet"/>
        <w:spacing w:after="40"/>
      </w:pPr>
      <w:r>
        <w:t>Define exit criteria for each maturity stage.</w:t>
      </w:r>
    </w:p>
    <w:p>
      <w:pPr>
        <w:pStyle w:val="ListBullet"/>
        <w:spacing w:after="40"/>
      </w:pPr>
      <w:r>
        <w:t>Require manufacturability, safety, maintainability, materials availability and cost analysis before engineering promotion.</w:t>
      </w:r>
    </w:p>
    <w:p>
      <w:pPr>
        <w:pStyle w:val="ListBullet"/>
        <w:spacing w:after="40"/>
      </w:pPr>
      <w:r>
        <w:t>Preserve a trace from scientific claim to engineering requirement to acceptance test.</w:t>
      </w:r>
    </w:p>
    <w:p>
      <w:pPr>
        <w:pStyle w:val="Heading1"/>
      </w:pPr>
      <w:r>
        <w:t>21. Reproducibility and Computational Determinism</w:t>
      </w:r>
    </w:p>
    <w:p>
      <w:pPr>
        <w:pStyle w:val="ListBullet"/>
        <w:spacing w:after="40"/>
      </w:pPr>
      <w:r>
        <w:t>Record code, solver, library, compiler, hardware, precision mode, seeds, dataset hashes and configuration.</w:t>
      </w:r>
    </w:p>
    <w:p>
      <w:pPr>
        <w:pStyle w:val="ListBullet"/>
        <w:spacing w:after="40"/>
      </w:pPr>
      <w:r>
        <w:t>Containerize or otherwise freeze execution environments for promotion-grade results.</w:t>
      </w:r>
    </w:p>
    <w:p>
      <w:pPr>
        <w:pStyle w:val="ListBullet"/>
        <w:spacing w:after="40"/>
      </w:pPr>
      <w:r>
        <w:t>Run repeatability tests across seeds and, where required, across hardware architectures.</w:t>
      </w:r>
    </w:p>
    <w:p>
      <w:pPr>
        <w:pStyle w:val="ListBullet"/>
        <w:spacing w:after="40"/>
      </w:pPr>
      <w:r>
        <w:t>Distinguish deterministic, stochastic and chaotic outputs.</w:t>
      </w:r>
    </w:p>
    <w:p>
      <w:pPr>
        <w:pStyle w:val="ListBullet"/>
        <w:spacing w:after="40"/>
      </w:pPr>
      <w:r>
        <w:t>Retain machine-readable execution manifests with scientific artifacts.</w:t>
      </w:r>
    </w:p>
    <w:p>
      <w:pPr>
        <w:pStyle w:val="Heading1"/>
      </w:pPr>
      <w:r>
        <w:t>22. Intellectual Property, Publication and Priority Controls</w:t>
      </w:r>
    </w:p>
    <w:p>
      <w:pPr>
        <w:pStyle w:val="ListBullet"/>
        <w:spacing w:after="40"/>
      </w:pPr>
      <w:r>
        <w:t>Preserve timestamped provenance of discoveries, equations, designs and experiments.</w:t>
      </w:r>
    </w:p>
    <w:p>
      <w:pPr>
        <w:pStyle w:val="ListBullet"/>
        <w:spacing w:after="40"/>
      </w:pPr>
      <w:r>
        <w:t>Record human and machine contributions separately.</w:t>
      </w:r>
    </w:p>
    <w:p>
      <w:pPr>
        <w:pStyle w:val="ListBullet"/>
        <w:spacing w:after="40"/>
      </w:pPr>
      <w:r>
        <w:t>Support controlled release paths: publication, patent review, open science, confidential research or trade-secret handling where appropriate.</w:t>
      </w:r>
    </w:p>
    <w:p>
      <w:pPr>
        <w:pStyle w:val="ListBullet"/>
        <w:spacing w:after="40"/>
      </w:pPr>
      <w:r>
        <w:t>Prevent premature public disclosure where an invention or sensitive capability is under review.</w:t>
      </w:r>
    </w:p>
    <w:p>
      <w:pPr>
        <w:pStyle w:val="Heading1"/>
      </w:pPr>
      <w:r>
        <w:t>23. Assurance Status Taxonomy</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2592"/>
            <w:vAlign w:val="center"/>
            <w:tcMar>
              <w:top w:w="80" w:type="dxa"/>
              <w:start w:w="90" w:type="dxa"/>
              <w:bottom w:w="80" w:type="dxa"/>
              <w:end w:w="90" w:type="dxa"/>
            </w:tcMar>
            <w:shd w:fill="1F4E78"/>
          </w:tcPr>
          <w:p>
            <w:pPr>
              <w:spacing w:after="40"/>
            </w:pPr>
            <w:r>
              <w:rPr>
                <w:b/>
                <w:sz w:val="17"/>
              </w:rPr>
              <w:t>Status</w:t>
            </w:r>
          </w:p>
        </w:tc>
        <w:tc>
          <w:tcPr>
            <w:tcW w:type="dxa" w:w="7200"/>
            <w:vAlign w:val="center"/>
            <w:tcMar>
              <w:top w:w="80" w:type="dxa"/>
              <w:start w:w="90" w:type="dxa"/>
              <w:bottom w:w="80" w:type="dxa"/>
              <w:end w:w="90" w:type="dxa"/>
            </w:tcMar>
            <w:shd w:fill="1F4E78"/>
          </w:tcPr>
          <w:p>
            <w:pPr>
              <w:spacing w:after="40"/>
            </w:pPr>
            <w:r>
              <w:rPr>
                <w:b/>
                <w:sz w:val="17"/>
              </w:rPr>
              <w:t>Meaning</w:t>
            </w:r>
          </w:p>
        </w:tc>
      </w:tr>
      <w:tr>
        <w:tc>
          <w:tcPr>
            <w:tcW w:type="dxa" w:w="2592"/>
            <w:vAlign w:val="center"/>
            <w:tcMar>
              <w:top w:w="80" w:type="dxa"/>
              <w:start w:w="90" w:type="dxa"/>
              <w:bottom w:w="80" w:type="dxa"/>
              <w:end w:w="90" w:type="dxa"/>
            </w:tcMar>
          </w:tcPr>
          <w:p>
            <w:pPr>
              <w:spacing w:after="40"/>
            </w:pPr>
            <w:r>
              <w:rPr>
                <w:sz w:val="17"/>
              </w:rPr>
              <w:t>H0 — Unvalidated</w:t>
            </w:r>
          </w:p>
        </w:tc>
        <w:tc>
          <w:tcPr>
            <w:tcW w:type="dxa" w:w="7200"/>
            <w:vAlign w:val="center"/>
            <w:tcMar>
              <w:top w:w="80" w:type="dxa"/>
              <w:start w:w="90" w:type="dxa"/>
              <w:bottom w:w="80" w:type="dxa"/>
              <w:end w:w="90" w:type="dxa"/>
            </w:tcMar>
          </w:tcPr>
          <w:p>
            <w:pPr>
              <w:spacing w:after="40"/>
            </w:pPr>
            <w:r>
              <w:rPr>
                <w:sz w:val="17"/>
              </w:rPr>
              <w:t>Idea, hypothesis or generated formulation with no meaningful validation.</w:t>
            </w:r>
          </w:p>
        </w:tc>
      </w:tr>
      <w:tr>
        <w:tc>
          <w:tcPr>
            <w:tcW w:type="dxa" w:w="2592"/>
            <w:vAlign w:val="center"/>
            <w:tcMar>
              <w:top w:w="80" w:type="dxa"/>
              <w:start w:w="90" w:type="dxa"/>
              <w:bottom w:w="80" w:type="dxa"/>
              <w:end w:w="90" w:type="dxa"/>
            </w:tcMar>
          </w:tcPr>
          <w:p>
            <w:pPr>
              <w:spacing w:after="40"/>
            </w:pPr>
            <w:r>
              <w:rPr>
                <w:sz w:val="17"/>
              </w:rPr>
              <w:t>H1 — Computationally Plausible</w:t>
            </w:r>
          </w:p>
        </w:tc>
        <w:tc>
          <w:tcPr>
            <w:tcW w:type="dxa" w:w="7200"/>
            <w:vAlign w:val="center"/>
            <w:tcMar>
              <w:top w:w="80" w:type="dxa"/>
              <w:start w:w="90" w:type="dxa"/>
              <w:bottom w:w="80" w:type="dxa"/>
              <w:end w:w="90" w:type="dxa"/>
            </w:tcMar>
          </w:tcPr>
          <w:p>
            <w:pPr>
              <w:spacing w:after="40"/>
            </w:pPr>
            <w:r>
              <w:rPr>
                <w:sz w:val="17"/>
              </w:rPr>
              <w:t>Runs without known mathematical/numerical contradiction in the tested regime.</w:t>
            </w:r>
          </w:p>
        </w:tc>
      </w:tr>
      <w:tr>
        <w:tc>
          <w:tcPr>
            <w:tcW w:type="dxa" w:w="2592"/>
            <w:vAlign w:val="center"/>
            <w:tcMar>
              <w:top w:w="80" w:type="dxa"/>
              <w:start w:w="90" w:type="dxa"/>
              <w:bottom w:w="80" w:type="dxa"/>
              <w:end w:w="90" w:type="dxa"/>
            </w:tcMar>
          </w:tcPr>
          <w:p>
            <w:pPr>
              <w:spacing w:after="40"/>
            </w:pPr>
            <w:r>
              <w:rPr>
                <w:sz w:val="17"/>
              </w:rPr>
              <w:t>H2 — Benchmark Validated</w:t>
            </w:r>
          </w:p>
        </w:tc>
        <w:tc>
          <w:tcPr>
            <w:tcW w:type="dxa" w:w="7200"/>
            <w:vAlign w:val="center"/>
            <w:tcMar>
              <w:top w:w="80" w:type="dxa"/>
              <w:start w:w="90" w:type="dxa"/>
              <w:bottom w:w="80" w:type="dxa"/>
              <w:end w:w="90" w:type="dxa"/>
            </w:tcMar>
          </w:tcPr>
          <w:p>
            <w:pPr>
              <w:spacing w:after="40"/>
            </w:pPr>
            <w:r>
              <w:rPr>
                <w:sz w:val="17"/>
              </w:rPr>
              <w:t>Reproduces required known results within defined tolerances.</w:t>
            </w:r>
          </w:p>
        </w:tc>
      </w:tr>
      <w:tr>
        <w:tc>
          <w:tcPr>
            <w:tcW w:type="dxa" w:w="2592"/>
            <w:vAlign w:val="center"/>
            <w:tcMar>
              <w:top w:w="80" w:type="dxa"/>
              <w:start w:w="90" w:type="dxa"/>
              <w:bottom w:w="80" w:type="dxa"/>
              <w:end w:w="90" w:type="dxa"/>
            </w:tcMar>
          </w:tcPr>
          <w:p>
            <w:pPr>
              <w:spacing w:after="40"/>
            </w:pPr>
            <w:r>
              <w:rPr>
                <w:sz w:val="17"/>
              </w:rPr>
              <w:t>H3 — Empirically Consistent</w:t>
            </w:r>
          </w:p>
        </w:tc>
        <w:tc>
          <w:tcPr>
            <w:tcW w:type="dxa" w:w="7200"/>
            <w:vAlign w:val="center"/>
            <w:tcMar>
              <w:top w:w="80" w:type="dxa"/>
              <w:start w:w="90" w:type="dxa"/>
              <w:bottom w:w="80" w:type="dxa"/>
              <w:end w:w="90" w:type="dxa"/>
            </w:tcMar>
          </w:tcPr>
          <w:p>
            <w:pPr>
              <w:spacing w:after="40"/>
            </w:pPr>
            <w:r>
              <w:rPr>
                <w:sz w:val="17"/>
              </w:rPr>
              <w:t>Agrees with independent observations under stated assumptions.</w:t>
            </w:r>
          </w:p>
        </w:tc>
      </w:tr>
      <w:tr>
        <w:tc>
          <w:tcPr>
            <w:tcW w:type="dxa" w:w="2592"/>
            <w:vAlign w:val="center"/>
            <w:tcMar>
              <w:top w:w="80" w:type="dxa"/>
              <w:start w:w="90" w:type="dxa"/>
              <w:bottom w:w="80" w:type="dxa"/>
              <w:end w:w="90" w:type="dxa"/>
            </w:tcMar>
          </w:tcPr>
          <w:p>
            <w:pPr>
              <w:spacing w:after="40"/>
            </w:pPr>
            <w:r>
              <w:rPr>
                <w:sz w:val="17"/>
              </w:rPr>
              <w:t>H4 — Falsification-Resistant</w:t>
            </w:r>
          </w:p>
        </w:tc>
        <w:tc>
          <w:tcPr>
            <w:tcW w:type="dxa" w:w="7200"/>
            <w:vAlign w:val="center"/>
            <w:tcMar>
              <w:top w:w="80" w:type="dxa"/>
              <w:start w:w="90" w:type="dxa"/>
              <w:bottom w:w="80" w:type="dxa"/>
              <w:end w:w="90" w:type="dxa"/>
            </w:tcMar>
          </w:tcPr>
          <w:p>
            <w:pPr>
              <w:spacing w:after="40"/>
            </w:pPr>
            <w:r>
              <w:rPr>
                <w:sz w:val="17"/>
              </w:rPr>
              <w:t>Survives adversarial alternatives and key conventional explanations.</w:t>
            </w:r>
          </w:p>
        </w:tc>
      </w:tr>
      <w:tr>
        <w:tc>
          <w:tcPr>
            <w:tcW w:type="dxa" w:w="2592"/>
            <w:vAlign w:val="center"/>
            <w:tcMar>
              <w:top w:w="80" w:type="dxa"/>
              <w:start w:w="90" w:type="dxa"/>
              <w:bottom w:w="80" w:type="dxa"/>
              <w:end w:w="90" w:type="dxa"/>
            </w:tcMar>
          </w:tcPr>
          <w:p>
            <w:pPr>
              <w:spacing w:after="40"/>
            </w:pPr>
            <w:r>
              <w:rPr>
                <w:sz w:val="17"/>
              </w:rPr>
              <w:t>H5 — Replicated</w:t>
            </w:r>
          </w:p>
        </w:tc>
        <w:tc>
          <w:tcPr>
            <w:tcW w:type="dxa" w:w="7200"/>
            <w:vAlign w:val="center"/>
            <w:tcMar>
              <w:top w:w="80" w:type="dxa"/>
              <w:start w:w="90" w:type="dxa"/>
              <w:bottom w:w="80" w:type="dxa"/>
              <w:end w:w="90" w:type="dxa"/>
            </w:tcMar>
          </w:tcPr>
          <w:p>
            <w:pPr>
              <w:spacing w:after="40"/>
            </w:pPr>
            <w:r>
              <w:rPr>
                <w:sz w:val="17"/>
              </w:rPr>
              <w:t>Independent execution or experiment reproduces the result.</w:t>
            </w:r>
          </w:p>
        </w:tc>
      </w:tr>
      <w:tr>
        <w:tc>
          <w:tcPr>
            <w:tcW w:type="dxa" w:w="2592"/>
            <w:vAlign w:val="center"/>
            <w:tcMar>
              <w:top w:w="80" w:type="dxa"/>
              <w:start w:w="90" w:type="dxa"/>
              <w:bottom w:w="80" w:type="dxa"/>
              <w:end w:w="90" w:type="dxa"/>
            </w:tcMar>
          </w:tcPr>
          <w:p>
            <w:pPr>
              <w:spacing w:after="40"/>
            </w:pPr>
            <w:r>
              <w:rPr>
                <w:sz w:val="17"/>
              </w:rPr>
              <w:t>H6 — Predictively Successful</w:t>
            </w:r>
          </w:p>
        </w:tc>
        <w:tc>
          <w:tcPr>
            <w:tcW w:type="dxa" w:w="7200"/>
            <w:vAlign w:val="center"/>
            <w:tcMar>
              <w:top w:w="80" w:type="dxa"/>
              <w:start w:w="90" w:type="dxa"/>
              <w:bottom w:w="80" w:type="dxa"/>
              <w:end w:w="90" w:type="dxa"/>
            </w:tcMar>
          </w:tcPr>
          <w:p>
            <w:pPr>
              <w:spacing w:after="40"/>
            </w:pPr>
            <w:r>
              <w:rPr>
                <w:sz w:val="17"/>
              </w:rPr>
              <w:t>Produces a novel prediction that is subsequently supported by independent observation.</w:t>
            </w:r>
          </w:p>
        </w:tc>
      </w:tr>
      <w:tr>
        <w:tc>
          <w:tcPr>
            <w:tcW w:type="dxa" w:w="2592"/>
            <w:vAlign w:val="center"/>
            <w:tcMar>
              <w:top w:w="80" w:type="dxa"/>
              <w:start w:w="90" w:type="dxa"/>
              <w:bottom w:w="80" w:type="dxa"/>
              <w:end w:w="90" w:type="dxa"/>
            </w:tcMar>
          </w:tcPr>
          <w:p>
            <w:pPr>
              <w:spacing w:after="40"/>
            </w:pPr>
            <w:r>
              <w:rPr>
                <w:sz w:val="17"/>
              </w:rPr>
              <w:t>H7 — Engineering Validated</w:t>
            </w:r>
          </w:p>
        </w:tc>
        <w:tc>
          <w:tcPr>
            <w:tcW w:type="dxa" w:w="7200"/>
            <w:vAlign w:val="center"/>
            <w:tcMar>
              <w:top w:w="80" w:type="dxa"/>
              <w:start w:w="90" w:type="dxa"/>
              <w:bottom w:w="80" w:type="dxa"/>
              <w:end w:w="90" w:type="dxa"/>
            </w:tcMar>
          </w:tcPr>
          <w:p>
            <w:pPr>
              <w:spacing w:after="40"/>
            </w:pPr>
            <w:r>
              <w:rPr>
                <w:sz w:val="17"/>
              </w:rPr>
              <w:t>Produces a repeatable engineering effect with acceptable safety, cost and reliability.</w:t>
            </w:r>
          </w:p>
        </w:tc>
      </w:tr>
    </w:tbl>
    <w:p>
      <w:pPr>
        <w:pStyle w:val="Heading1"/>
      </w:pPr>
      <w:r>
        <w:t>24. Promotion Gates</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2592"/>
            <w:vAlign w:val="center"/>
            <w:tcMar>
              <w:top w:w="80" w:type="dxa"/>
              <w:start w:w="90" w:type="dxa"/>
              <w:bottom w:w="80" w:type="dxa"/>
              <w:end w:w="90" w:type="dxa"/>
            </w:tcMar>
            <w:shd w:fill="1F4E78"/>
          </w:tcPr>
          <w:p>
            <w:pPr>
              <w:spacing w:after="40"/>
            </w:pPr>
            <w:r>
              <w:rPr>
                <w:b/>
                <w:sz w:val="17"/>
              </w:rPr>
              <w:t>Gate</w:t>
            </w:r>
          </w:p>
        </w:tc>
        <w:tc>
          <w:tcPr>
            <w:tcW w:type="dxa" w:w="7200"/>
            <w:vAlign w:val="center"/>
            <w:tcMar>
              <w:top w:w="80" w:type="dxa"/>
              <w:start w:w="90" w:type="dxa"/>
              <w:bottom w:w="80" w:type="dxa"/>
              <w:end w:w="90" w:type="dxa"/>
            </w:tcMar>
            <w:shd w:fill="1F4E78"/>
          </w:tcPr>
          <w:p>
            <w:pPr>
              <w:spacing w:after="40"/>
            </w:pPr>
            <w:r>
              <w:rPr>
                <w:b/>
                <w:sz w:val="17"/>
              </w:rPr>
              <w:t>Minimum condition</w:t>
            </w:r>
          </w:p>
        </w:tc>
      </w:tr>
      <w:tr>
        <w:tc>
          <w:tcPr>
            <w:tcW w:type="dxa" w:w="2592"/>
            <w:vAlign w:val="center"/>
            <w:tcMar>
              <w:top w:w="80" w:type="dxa"/>
              <w:start w:w="90" w:type="dxa"/>
              <w:bottom w:w="80" w:type="dxa"/>
              <w:end w:w="90" w:type="dxa"/>
            </w:tcMar>
          </w:tcPr>
          <w:p>
            <w:pPr>
              <w:spacing w:after="40"/>
            </w:pPr>
            <w:r>
              <w:rPr>
                <w:sz w:val="17"/>
              </w:rPr>
              <w:t>Gate A — Mathematical</w:t>
            </w:r>
          </w:p>
        </w:tc>
        <w:tc>
          <w:tcPr>
            <w:tcW w:type="dxa" w:w="7200"/>
            <w:vAlign w:val="center"/>
            <w:tcMar>
              <w:top w:w="80" w:type="dxa"/>
              <w:start w:w="90" w:type="dxa"/>
              <w:bottom w:w="80" w:type="dxa"/>
              <w:end w:w="90" w:type="dxa"/>
            </w:tcMar>
          </w:tcPr>
          <w:p>
            <w:pPr>
              <w:spacing w:after="40"/>
            </w:pPr>
            <w:r>
              <w:rPr>
                <w:sz w:val="17"/>
              </w:rPr>
              <w:t>Dimensional consistency, symbolic checks, domain metadata, derivation/justification</w:t>
            </w:r>
          </w:p>
        </w:tc>
      </w:tr>
      <w:tr>
        <w:tc>
          <w:tcPr>
            <w:tcW w:type="dxa" w:w="2592"/>
            <w:vAlign w:val="center"/>
            <w:tcMar>
              <w:top w:w="80" w:type="dxa"/>
              <w:start w:w="90" w:type="dxa"/>
              <w:bottom w:w="80" w:type="dxa"/>
              <w:end w:w="90" w:type="dxa"/>
            </w:tcMar>
          </w:tcPr>
          <w:p>
            <w:pPr>
              <w:spacing w:after="40"/>
            </w:pPr>
            <w:r>
              <w:rPr>
                <w:sz w:val="17"/>
              </w:rPr>
              <w:t>Gate B — Numerical</w:t>
            </w:r>
          </w:p>
        </w:tc>
        <w:tc>
          <w:tcPr>
            <w:tcW w:type="dxa" w:w="7200"/>
            <w:vAlign w:val="center"/>
            <w:tcMar>
              <w:top w:w="80" w:type="dxa"/>
              <w:start w:w="90" w:type="dxa"/>
              <w:bottom w:w="80" w:type="dxa"/>
              <w:end w:w="90" w:type="dxa"/>
            </w:tcMar>
          </w:tcPr>
          <w:p>
            <w:pPr>
              <w:spacing w:after="40"/>
            </w:pPr>
            <w:r>
              <w:rPr>
                <w:sz w:val="17"/>
              </w:rPr>
              <w:t>Stability, convergence, precision, benchmark recovery</w:t>
            </w:r>
          </w:p>
        </w:tc>
      </w:tr>
      <w:tr>
        <w:tc>
          <w:tcPr>
            <w:tcW w:type="dxa" w:w="2592"/>
            <w:vAlign w:val="center"/>
            <w:tcMar>
              <w:top w:w="80" w:type="dxa"/>
              <w:start w:w="90" w:type="dxa"/>
              <w:bottom w:w="80" w:type="dxa"/>
              <w:end w:w="90" w:type="dxa"/>
            </w:tcMar>
          </w:tcPr>
          <w:p>
            <w:pPr>
              <w:spacing w:after="40"/>
            </w:pPr>
            <w:r>
              <w:rPr>
                <w:sz w:val="17"/>
              </w:rPr>
              <w:t>Gate C — Scientific</w:t>
            </w:r>
          </w:p>
        </w:tc>
        <w:tc>
          <w:tcPr>
            <w:tcW w:type="dxa" w:w="7200"/>
            <w:vAlign w:val="center"/>
            <w:tcMar>
              <w:top w:w="80" w:type="dxa"/>
              <w:start w:w="90" w:type="dxa"/>
              <w:bottom w:w="80" w:type="dxa"/>
              <w:end w:w="90" w:type="dxa"/>
            </w:tcMar>
          </w:tcPr>
          <w:p>
            <w:pPr>
              <w:spacing w:after="40"/>
            </w:pPr>
            <w:r>
              <w:rPr>
                <w:sz w:val="17"/>
              </w:rPr>
              <w:t>Alternative models, uncertainty, blind validation, causal/confounder review</w:t>
            </w:r>
          </w:p>
        </w:tc>
      </w:tr>
      <w:tr>
        <w:tc>
          <w:tcPr>
            <w:tcW w:type="dxa" w:w="2592"/>
            <w:vAlign w:val="center"/>
            <w:tcMar>
              <w:top w:w="80" w:type="dxa"/>
              <w:start w:w="90" w:type="dxa"/>
              <w:bottom w:w="80" w:type="dxa"/>
              <w:end w:w="90" w:type="dxa"/>
            </w:tcMar>
          </w:tcPr>
          <w:p>
            <w:pPr>
              <w:spacing w:after="40"/>
            </w:pPr>
            <w:r>
              <w:rPr>
                <w:sz w:val="17"/>
              </w:rPr>
              <w:t>Gate D — Predictive</w:t>
            </w:r>
          </w:p>
        </w:tc>
        <w:tc>
          <w:tcPr>
            <w:tcW w:type="dxa" w:w="7200"/>
            <w:vAlign w:val="center"/>
            <w:tcMar>
              <w:top w:w="80" w:type="dxa"/>
              <w:start w:w="90" w:type="dxa"/>
              <w:bottom w:w="80" w:type="dxa"/>
              <w:end w:w="90" w:type="dxa"/>
            </w:tcMar>
          </w:tcPr>
          <w:p>
            <w:pPr>
              <w:spacing w:after="40"/>
            </w:pPr>
            <w:r>
              <w:rPr>
                <w:sz w:val="17"/>
              </w:rPr>
              <w:t>Held-out or prospective prediction with predefined evaluation conditions</w:t>
            </w:r>
          </w:p>
        </w:tc>
      </w:tr>
      <w:tr>
        <w:tc>
          <w:tcPr>
            <w:tcW w:type="dxa" w:w="2592"/>
            <w:vAlign w:val="center"/>
            <w:tcMar>
              <w:top w:w="80" w:type="dxa"/>
              <w:start w:w="90" w:type="dxa"/>
              <w:bottom w:w="80" w:type="dxa"/>
              <w:end w:w="90" w:type="dxa"/>
            </w:tcMar>
          </w:tcPr>
          <w:p>
            <w:pPr>
              <w:spacing w:after="40"/>
            </w:pPr>
            <w:r>
              <w:rPr>
                <w:sz w:val="17"/>
              </w:rPr>
              <w:t>Gate E — Experimental</w:t>
            </w:r>
          </w:p>
        </w:tc>
        <w:tc>
          <w:tcPr>
            <w:tcW w:type="dxa" w:w="7200"/>
            <w:vAlign w:val="center"/>
            <w:tcMar>
              <w:top w:w="80" w:type="dxa"/>
              <w:start w:w="90" w:type="dxa"/>
              <w:bottom w:w="80" w:type="dxa"/>
              <w:end w:w="90" w:type="dxa"/>
            </w:tcMar>
          </w:tcPr>
          <w:p>
            <w:pPr>
              <w:spacing w:after="40"/>
            </w:pPr>
            <w:r>
              <w:rPr>
                <w:sz w:val="17"/>
              </w:rPr>
              <w:t>Independent measurement, calibration and replication</w:t>
            </w:r>
          </w:p>
        </w:tc>
      </w:tr>
      <w:tr>
        <w:tc>
          <w:tcPr>
            <w:tcW w:type="dxa" w:w="2592"/>
            <w:vAlign w:val="center"/>
            <w:tcMar>
              <w:top w:w="80" w:type="dxa"/>
              <w:start w:w="90" w:type="dxa"/>
              <w:bottom w:w="80" w:type="dxa"/>
              <w:end w:w="90" w:type="dxa"/>
            </w:tcMar>
          </w:tcPr>
          <w:p>
            <w:pPr>
              <w:spacing w:after="40"/>
            </w:pPr>
            <w:r>
              <w:rPr>
                <w:sz w:val="17"/>
              </w:rPr>
              <w:t>Gate F — Engineering</w:t>
            </w:r>
          </w:p>
        </w:tc>
        <w:tc>
          <w:tcPr>
            <w:tcW w:type="dxa" w:w="7200"/>
            <w:vAlign w:val="center"/>
            <w:tcMar>
              <w:top w:w="80" w:type="dxa"/>
              <w:start w:w="90" w:type="dxa"/>
              <w:bottom w:w="80" w:type="dxa"/>
              <w:end w:w="90" w:type="dxa"/>
            </w:tcMar>
          </w:tcPr>
          <w:p>
            <w:pPr>
              <w:spacing w:after="40"/>
            </w:pPr>
            <w:r>
              <w:rPr>
                <w:sz w:val="17"/>
              </w:rPr>
              <w:t>Safety, manufacturability, cost, reliability and operational envelope</w:t>
            </w:r>
          </w:p>
        </w:tc>
      </w:tr>
      <w:tr>
        <w:tc>
          <w:tcPr>
            <w:tcW w:type="dxa" w:w="2592"/>
            <w:vAlign w:val="center"/>
            <w:tcMar>
              <w:top w:w="80" w:type="dxa"/>
              <w:start w:w="90" w:type="dxa"/>
              <w:bottom w:w="80" w:type="dxa"/>
              <w:end w:w="90" w:type="dxa"/>
            </w:tcMar>
          </w:tcPr>
          <w:p>
            <w:pPr>
              <w:spacing w:after="40"/>
            </w:pPr>
            <w:r>
              <w:rPr>
                <w:sz w:val="17"/>
              </w:rPr>
              <w:t>Gate G — Release</w:t>
            </w:r>
          </w:p>
        </w:tc>
        <w:tc>
          <w:tcPr>
            <w:tcW w:type="dxa" w:w="7200"/>
            <w:vAlign w:val="center"/>
            <w:tcMar>
              <w:top w:w="80" w:type="dxa"/>
              <w:start w:w="90" w:type="dxa"/>
              <w:bottom w:w="80" w:type="dxa"/>
              <w:end w:w="90" w:type="dxa"/>
            </w:tcMar>
          </w:tcPr>
          <w:p>
            <w:pPr>
              <w:spacing w:after="40"/>
            </w:pPr>
            <w:r>
              <w:rPr>
                <w:sz w:val="17"/>
              </w:rPr>
              <w:t>Provenance, documentation, review, rollback and publication/IP decision</w:t>
            </w:r>
          </w:p>
        </w:tc>
      </w:tr>
    </w:tbl>
    <w:p>
      <w:pPr>
        <w:pStyle w:val="Heading1"/>
      </w:pPr>
      <w:r>
        <w:t>25. Minimum Acceptance Criteria for the Assurance Platform</w:t>
      </w:r>
    </w:p>
    <w:p>
      <w:pPr>
        <w:pStyle w:val="ListNumber"/>
        <w:spacing w:after="40"/>
      </w:pPr>
      <w:r>
        <w:t>Every equation used in production analysis has an assurance record.</w:t>
      </w:r>
    </w:p>
    <w:p>
      <w:pPr>
        <w:pStyle w:val="ListNumber"/>
        <w:spacing w:after="40"/>
      </w:pPr>
      <w:r>
        <w:t>Every promotion-grade result is reproducible from recorded artifacts.</w:t>
      </w:r>
    </w:p>
    <w:p>
      <w:pPr>
        <w:pStyle w:val="ListNumber"/>
        <w:spacing w:after="40"/>
      </w:pPr>
      <w:r>
        <w:t>Known benchmark recovery is automated for affected domains.</w:t>
      </w:r>
    </w:p>
    <w:p>
      <w:pPr>
        <w:pStyle w:val="ListNumber"/>
        <w:spacing w:after="40"/>
      </w:pPr>
      <w:r>
        <w:t>Blind or withheld evaluation is available for high-consequence discovery claims.</w:t>
      </w:r>
    </w:p>
    <w:p>
      <w:pPr>
        <w:pStyle w:val="ListNumber"/>
        <w:spacing w:after="40"/>
      </w:pPr>
      <w:r>
        <w:t>Correlated evidence is modeled jointly rather than multiplied as independent probabilities without justification.</w:t>
      </w:r>
    </w:p>
    <w:p>
      <w:pPr>
        <w:pStyle w:val="ListNumber"/>
        <w:spacing w:after="40"/>
      </w:pPr>
      <w:r>
        <w:t>Out-of-distribution conditions can terminate automated promotion.</w:t>
      </w:r>
    </w:p>
    <w:p>
      <w:pPr>
        <w:pStyle w:val="ListNumber"/>
        <w:spacing w:after="40"/>
      </w:pPr>
      <w:r>
        <w:t>Self-improvement changes are sandboxed, benchmarked and rollbackable.</w:t>
      </w:r>
    </w:p>
    <w:p>
      <w:pPr>
        <w:pStyle w:val="ListNumber"/>
        <w:spacing w:after="40"/>
      </w:pPr>
      <w:r>
        <w:t>Physical actuation is protected by independent safety controls.</w:t>
      </w:r>
    </w:p>
    <w:p>
      <w:pPr>
        <w:pStyle w:val="ListNumber"/>
        <w:spacing w:after="40"/>
      </w:pPr>
      <w:r>
        <w:t>Failed hypotheses and experiments are retained in the negative-knowledge store.</w:t>
      </w:r>
    </w:p>
    <w:p>
      <w:pPr>
        <w:pStyle w:val="ListNumber"/>
        <w:spacing w:after="40"/>
      </w:pPr>
      <w:r>
        <w:t>Every major discovery claim has a human-readable evidence chain and machine-readable provenance.</w:t>
      </w:r>
    </w:p>
    <w:p>
      <w:pPr>
        <w:pStyle w:val="Heading1"/>
      </w:pPr>
      <w:r>
        <w:t>26. Prioritization</w:t>
      </w:r>
    </w:p>
    <w:tbl>
      <w:tblPr>
        <w:tblStyle w:val="TableGrid"/>
        <w:tblW w:type="auto" w:w="0"/>
        <w:jc w:val="center"/>
        <w:tblLook w:firstColumn="1" w:firstRow="1" w:lastColumn="0" w:lastRow="0" w:noHBand="0" w:noVBand="1" w:val="04A0"/>
      </w:tblPr>
      <w:tblGrid>
        <w:gridCol w:w="3331"/>
        <w:gridCol w:w="3331"/>
        <w:gridCol w:w="3331"/>
      </w:tblGrid>
      <w:tr>
        <w:trPr>
          <w:tblHeader w:val="true"/>
          <w:tblHeader w:val="true"/>
          <w:tblHeader w:val="true"/>
        </w:trPr>
        <w:tc>
          <w:tcPr>
            <w:tcW w:type="dxa" w:w="1152"/>
            <w:vAlign w:val="center"/>
            <w:tcMar>
              <w:top w:w="80" w:type="dxa"/>
              <w:start w:w="90" w:type="dxa"/>
              <w:bottom w:w="80" w:type="dxa"/>
              <w:end w:w="90" w:type="dxa"/>
            </w:tcMar>
            <w:shd w:fill="1F4E78"/>
          </w:tcPr>
          <w:p>
            <w:pPr>
              <w:spacing w:after="40"/>
            </w:pPr>
            <w:r>
              <w:rPr>
                <w:b/>
                <w:sz w:val="17"/>
              </w:rPr>
              <w:t>Priority</w:t>
            </w:r>
          </w:p>
        </w:tc>
        <w:tc>
          <w:tcPr>
            <w:tcW w:type="dxa" w:w="3600"/>
            <w:vAlign w:val="center"/>
            <w:tcMar>
              <w:top w:w="80" w:type="dxa"/>
              <w:start w:w="90" w:type="dxa"/>
              <w:bottom w:w="80" w:type="dxa"/>
              <w:end w:w="90" w:type="dxa"/>
            </w:tcMar>
            <w:shd w:fill="1F4E78"/>
          </w:tcPr>
          <w:p>
            <w:pPr>
              <w:spacing w:after="40"/>
            </w:pPr>
            <w:r>
              <w:rPr>
                <w:b/>
                <w:sz w:val="17"/>
              </w:rPr>
              <w:t>Capability</w:t>
            </w:r>
          </w:p>
        </w:tc>
        <w:tc>
          <w:tcPr>
            <w:tcW w:type="dxa" w:w="5040"/>
            <w:vAlign w:val="center"/>
            <w:tcMar>
              <w:top w:w="80" w:type="dxa"/>
              <w:start w:w="90" w:type="dxa"/>
              <w:bottom w:w="80" w:type="dxa"/>
              <w:end w:w="90" w:type="dxa"/>
            </w:tcMar>
            <w:shd w:fill="1F4E78"/>
          </w:tcPr>
          <w:p>
            <w:pPr>
              <w:spacing w:after="40"/>
            </w:pPr>
            <w:r>
              <w:rPr>
                <w:b/>
                <w:sz w:val="17"/>
              </w:rPr>
              <w:t>Reason</w:t>
            </w:r>
          </w:p>
        </w:tc>
      </w:tr>
      <w:tr>
        <w:tc>
          <w:tcPr>
            <w:tcW w:type="dxa" w:w="1152"/>
            <w:vAlign w:val="center"/>
            <w:tcMar>
              <w:top w:w="80" w:type="dxa"/>
              <w:start w:w="90" w:type="dxa"/>
              <w:bottom w:w="80" w:type="dxa"/>
              <w:end w:w="90" w:type="dxa"/>
            </w:tcMar>
          </w:tcPr>
          <w:p>
            <w:pPr>
              <w:spacing w:after="40"/>
            </w:pPr>
            <w:r>
              <w:rPr>
                <w:sz w:val="17"/>
              </w:rPr>
              <w:t>P0</w:t>
            </w:r>
          </w:p>
        </w:tc>
        <w:tc>
          <w:tcPr>
            <w:tcW w:type="dxa" w:w="3600"/>
            <w:vAlign w:val="center"/>
            <w:tcMar>
              <w:top w:w="80" w:type="dxa"/>
              <w:start w:w="90" w:type="dxa"/>
              <w:bottom w:w="80" w:type="dxa"/>
              <w:end w:w="90" w:type="dxa"/>
            </w:tcMar>
          </w:tcPr>
          <w:p>
            <w:pPr>
              <w:spacing w:after="40"/>
            </w:pPr>
            <w:r>
              <w:rPr>
                <w:sz w:val="17"/>
              </w:rPr>
              <w:t>Uncertainty/calibration framework</w:t>
            </w:r>
          </w:p>
        </w:tc>
        <w:tc>
          <w:tcPr>
            <w:tcW w:type="dxa" w:w="5040"/>
            <w:vAlign w:val="center"/>
            <w:tcMar>
              <w:top w:w="80" w:type="dxa"/>
              <w:start w:w="90" w:type="dxa"/>
              <w:bottom w:w="80" w:type="dxa"/>
              <w:end w:w="90" w:type="dxa"/>
            </w:tcMar>
          </w:tcPr>
          <w:p>
            <w:pPr>
              <w:spacing w:after="40"/>
            </w:pPr>
            <w:r>
              <w:rPr>
                <w:sz w:val="17"/>
              </w:rPr>
              <w:t>Prevents false confidence across all domains</w:t>
            </w:r>
          </w:p>
        </w:tc>
      </w:tr>
      <w:tr>
        <w:tc>
          <w:tcPr>
            <w:tcW w:type="dxa" w:w="1152"/>
            <w:vAlign w:val="center"/>
            <w:tcMar>
              <w:top w:w="80" w:type="dxa"/>
              <w:start w:w="90" w:type="dxa"/>
              <w:bottom w:w="80" w:type="dxa"/>
              <w:end w:w="90" w:type="dxa"/>
            </w:tcMar>
          </w:tcPr>
          <w:p>
            <w:pPr>
              <w:spacing w:after="40"/>
            </w:pPr>
            <w:r>
              <w:rPr>
                <w:sz w:val="17"/>
              </w:rPr>
              <w:t>P0</w:t>
            </w:r>
          </w:p>
        </w:tc>
        <w:tc>
          <w:tcPr>
            <w:tcW w:type="dxa" w:w="3600"/>
            <w:vAlign w:val="center"/>
            <w:tcMar>
              <w:top w:w="80" w:type="dxa"/>
              <w:start w:w="90" w:type="dxa"/>
              <w:bottom w:w="80" w:type="dxa"/>
              <w:end w:w="90" w:type="dxa"/>
            </w:tcMar>
          </w:tcPr>
          <w:p>
            <w:pPr>
              <w:spacing w:after="40"/>
            </w:pPr>
            <w:r>
              <w:rPr>
                <w:sz w:val="17"/>
              </w:rPr>
              <w:t>Scientific benchmark/regression suite</w:t>
            </w:r>
          </w:p>
        </w:tc>
        <w:tc>
          <w:tcPr>
            <w:tcW w:type="dxa" w:w="5040"/>
            <w:vAlign w:val="center"/>
            <w:tcMar>
              <w:top w:w="80" w:type="dxa"/>
              <w:start w:w="90" w:type="dxa"/>
              <w:bottom w:w="80" w:type="dxa"/>
              <w:end w:w="90" w:type="dxa"/>
            </w:tcMar>
          </w:tcPr>
          <w:p>
            <w:pPr>
              <w:spacing w:after="40"/>
            </w:pPr>
            <w:r>
              <w:rPr>
                <w:sz w:val="17"/>
              </w:rPr>
              <w:t>Protects against breaking known science while optimizing</w:t>
            </w:r>
          </w:p>
        </w:tc>
      </w:tr>
      <w:tr>
        <w:tc>
          <w:tcPr>
            <w:tcW w:type="dxa" w:w="1152"/>
            <w:vAlign w:val="center"/>
            <w:tcMar>
              <w:top w:w="80" w:type="dxa"/>
              <w:start w:w="90" w:type="dxa"/>
              <w:bottom w:w="80" w:type="dxa"/>
              <w:end w:w="90" w:type="dxa"/>
            </w:tcMar>
          </w:tcPr>
          <w:p>
            <w:pPr>
              <w:spacing w:after="40"/>
            </w:pPr>
            <w:r>
              <w:rPr>
                <w:sz w:val="17"/>
              </w:rPr>
              <w:t>P0</w:t>
            </w:r>
          </w:p>
        </w:tc>
        <w:tc>
          <w:tcPr>
            <w:tcW w:type="dxa" w:w="3600"/>
            <w:vAlign w:val="center"/>
            <w:tcMar>
              <w:top w:w="80" w:type="dxa"/>
              <w:start w:w="90" w:type="dxa"/>
              <w:bottom w:w="80" w:type="dxa"/>
              <w:end w:w="90" w:type="dxa"/>
            </w:tcMar>
          </w:tcPr>
          <w:p>
            <w:pPr>
              <w:spacing w:after="40"/>
            </w:pPr>
            <w:r>
              <w:rPr>
                <w:sz w:val="17"/>
              </w:rPr>
              <w:t>Blind validation / anti-confirmation controls</w:t>
            </w:r>
          </w:p>
        </w:tc>
        <w:tc>
          <w:tcPr>
            <w:tcW w:type="dxa" w:w="5040"/>
            <w:vAlign w:val="center"/>
            <w:tcMar>
              <w:top w:w="80" w:type="dxa"/>
              <w:start w:w="90" w:type="dxa"/>
              <w:bottom w:w="80" w:type="dxa"/>
              <w:end w:w="90" w:type="dxa"/>
            </w:tcMar>
          </w:tcPr>
          <w:p>
            <w:pPr>
              <w:spacing w:after="40"/>
            </w:pPr>
            <w:r>
              <w:rPr>
                <w:sz w:val="17"/>
              </w:rPr>
              <w:t>Protects discovery claims from selection bias</w:t>
            </w:r>
          </w:p>
        </w:tc>
      </w:tr>
      <w:tr>
        <w:tc>
          <w:tcPr>
            <w:tcW w:type="dxa" w:w="1152"/>
            <w:vAlign w:val="center"/>
            <w:tcMar>
              <w:top w:w="80" w:type="dxa"/>
              <w:start w:w="90" w:type="dxa"/>
              <w:bottom w:w="80" w:type="dxa"/>
              <w:end w:w="90" w:type="dxa"/>
            </w:tcMar>
          </w:tcPr>
          <w:p>
            <w:pPr>
              <w:spacing w:after="40"/>
            </w:pPr>
            <w:r>
              <w:rPr>
                <w:sz w:val="17"/>
              </w:rPr>
              <w:t>P0</w:t>
            </w:r>
          </w:p>
        </w:tc>
        <w:tc>
          <w:tcPr>
            <w:tcW w:type="dxa" w:w="3600"/>
            <w:vAlign w:val="center"/>
            <w:tcMar>
              <w:top w:w="80" w:type="dxa"/>
              <w:start w:w="90" w:type="dxa"/>
              <w:bottom w:w="80" w:type="dxa"/>
              <w:end w:w="90" w:type="dxa"/>
            </w:tcMar>
          </w:tcPr>
          <w:p>
            <w:pPr>
              <w:spacing w:after="40"/>
            </w:pPr>
            <w:r>
              <w:rPr>
                <w:sz w:val="17"/>
              </w:rPr>
              <w:t>Self-modification governance</w:t>
            </w:r>
          </w:p>
        </w:tc>
        <w:tc>
          <w:tcPr>
            <w:tcW w:type="dxa" w:w="5040"/>
            <w:vAlign w:val="center"/>
            <w:tcMar>
              <w:top w:w="80" w:type="dxa"/>
              <w:start w:w="90" w:type="dxa"/>
              <w:bottom w:w="80" w:type="dxa"/>
              <w:end w:w="90" w:type="dxa"/>
            </w:tcMar>
          </w:tcPr>
          <w:p>
            <w:pPr>
              <w:spacing w:after="40"/>
            </w:pPr>
            <w:r>
              <w:rPr>
                <w:sz w:val="17"/>
              </w:rPr>
              <w:t>Controls autonomous change</w:t>
            </w:r>
          </w:p>
        </w:tc>
      </w:tr>
      <w:tr>
        <w:tc>
          <w:tcPr>
            <w:tcW w:type="dxa" w:w="1152"/>
            <w:vAlign w:val="center"/>
            <w:tcMar>
              <w:top w:w="80" w:type="dxa"/>
              <w:start w:w="90" w:type="dxa"/>
              <w:bottom w:w="80" w:type="dxa"/>
              <w:end w:w="90" w:type="dxa"/>
            </w:tcMar>
          </w:tcPr>
          <w:p>
            <w:pPr>
              <w:spacing w:after="40"/>
            </w:pPr>
            <w:r>
              <w:rPr>
                <w:sz w:val="17"/>
              </w:rPr>
              <w:t>P0</w:t>
            </w:r>
          </w:p>
        </w:tc>
        <w:tc>
          <w:tcPr>
            <w:tcW w:type="dxa" w:w="3600"/>
            <w:vAlign w:val="center"/>
            <w:tcMar>
              <w:top w:w="80" w:type="dxa"/>
              <w:start w:w="90" w:type="dxa"/>
              <w:bottom w:w="80" w:type="dxa"/>
              <w:end w:w="90" w:type="dxa"/>
            </w:tcMar>
          </w:tcPr>
          <w:p>
            <w:pPr>
              <w:spacing w:after="40"/>
            </w:pPr>
            <w:r>
              <w:rPr>
                <w:sz w:val="17"/>
              </w:rPr>
              <w:t>Cyber-physical safety</w:t>
            </w:r>
          </w:p>
        </w:tc>
        <w:tc>
          <w:tcPr>
            <w:tcW w:type="dxa" w:w="5040"/>
            <w:vAlign w:val="center"/>
            <w:tcMar>
              <w:top w:w="80" w:type="dxa"/>
              <w:start w:w="90" w:type="dxa"/>
              <w:bottom w:w="80" w:type="dxa"/>
              <w:end w:w="90" w:type="dxa"/>
            </w:tcMar>
          </w:tcPr>
          <w:p>
            <w:pPr>
              <w:spacing w:after="40"/>
            </w:pPr>
            <w:r>
              <w:rPr>
                <w:sz w:val="17"/>
              </w:rPr>
              <w:t>Required before physical actuation</w:t>
            </w:r>
          </w:p>
        </w:tc>
      </w:tr>
      <w:tr>
        <w:tc>
          <w:tcPr>
            <w:tcW w:type="dxa" w:w="1152"/>
            <w:vAlign w:val="center"/>
            <w:tcMar>
              <w:top w:w="80" w:type="dxa"/>
              <w:start w:w="90" w:type="dxa"/>
              <w:bottom w:w="80" w:type="dxa"/>
              <w:end w:w="90" w:type="dxa"/>
            </w:tcMar>
          </w:tcPr>
          <w:p>
            <w:pPr>
              <w:spacing w:after="40"/>
            </w:pPr>
            <w:r>
              <w:rPr>
                <w:sz w:val="17"/>
              </w:rPr>
              <w:t>P1</w:t>
            </w:r>
          </w:p>
        </w:tc>
        <w:tc>
          <w:tcPr>
            <w:tcW w:type="dxa" w:w="3600"/>
            <w:vAlign w:val="center"/>
            <w:tcMar>
              <w:top w:w="80" w:type="dxa"/>
              <w:start w:w="90" w:type="dxa"/>
              <w:bottom w:w="80" w:type="dxa"/>
              <w:end w:w="90" w:type="dxa"/>
            </w:tcMar>
          </w:tcPr>
          <w:p>
            <w:pPr>
              <w:spacing w:after="40"/>
            </w:pPr>
            <w:r>
              <w:rPr>
                <w:sz w:val="17"/>
              </w:rPr>
              <w:t>Model-space expansion</w:t>
            </w:r>
          </w:p>
        </w:tc>
        <w:tc>
          <w:tcPr>
            <w:tcW w:type="dxa" w:w="5040"/>
            <w:vAlign w:val="center"/>
            <w:tcMar>
              <w:top w:w="80" w:type="dxa"/>
              <w:start w:w="90" w:type="dxa"/>
              <w:bottom w:w="80" w:type="dxa"/>
              <w:end w:w="90" w:type="dxa"/>
            </w:tcMar>
          </w:tcPr>
          <w:p>
            <w:pPr>
              <w:spacing w:after="40"/>
            </w:pPr>
            <w:r>
              <w:rPr>
                <w:sz w:val="17"/>
              </w:rPr>
              <w:t>Enables discovery beyond the current model library</w:t>
            </w:r>
          </w:p>
        </w:tc>
      </w:tr>
      <w:tr>
        <w:tc>
          <w:tcPr>
            <w:tcW w:type="dxa" w:w="1152"/>
            <w:vAlign w:val="center"/>
            <w:tcMar>
              <w:top w:w="80" w:type="dxa"/>
              <w:start w:w="90" w:type="dxa"/>
              <w:bottom w:w="80" w:type="dxa"/>
              <w:end w:w="90" w:type="dxa"/>
            </w:tcMar>
          </w:tcPr>
          <w:p>
            <w:pPr>
              <w:spacing w:after="40"/>
            </w:pPr>
            <w:r>
              <w:rPr>
                <w:sz w:val="17"/>
              </w:rPr>
              <w:t>P1</w:t>
            </w:r>
          </w:p>
        </w:tc>
        <w:tc>
          <w:tcPr>
            <w:tcW w:type="dxa" w:w="3600"/>
            <w:vAlign w:val="center"/>
            <w:tcMar>
              <w:top w:w="80" w:type="dxa"/>
              <w:start w:w="90" w:type="dxa"/>
              <w:bottom w:w="80" w:type="dxa"/>
              <w:end w:w="90" w:type="dxa"/>
            </w:tcMar>
          </w:tcPr>
          <w:p>
            <w:pPr>
              <w:spacing w:after="40"/>
            </w:pPr>
            <w:r>
              <w:rPr>
                <w:sz w:val="17"/>
              </w:rPr>
              <w:t>Negative knowledge graph</w:t>
            </w:r>
          </w:p>
        </w:tc>
        <w:tc>
          <w:tcPr>
            <w:tcW w:type="dxa" w:w="5040"/>
            <w:vAlign w:val="center"/>
            <w:tcMar>
              <w:top w:w="80" w:type="dxa"/>
              <w:start w:w="90" w:type="dxa"/>
              <w:bottom w:w="80" w:type="dxa"/>
              <w:end w:w="90" w:type="dxa"/>
            </w:tcMar>
          </w:tcPr>
          <w:p>
            <w:pPr>
              <w:spacing w:after="40"/>
            </w:pPr>
            <w:r>
              <w:rPr>
                <w:sz w:val="17"/>
              </w:rPr>
              <w:t>Prevents repeated dead ends</w:t>
            </w:r>
          </w:p>
        </w:tc>
      </w:tr>
      <w:tr>
        <w:tc>
          <w:tcPr>
            <w:tcW w:type="dxa" w:w="1152"/>
            <w:vAlign w:val="center"/>
            <w:tcMar>
              <w:top w:w="80" w:type="dxa"/>
              <w:start w:w="90" w:type="dxa"/>
              <w:bottom w:w="80" w:type="dxa"/>
              <w:end w:w="90" w:type="dxa"/>
            </w:tcMar>
          </w:tcPr>
          <w:p>
            <w:pPr>
              <w:spacing w:after="40"/>
            </w:pPr>
            <w:r>
              <w:rPr>
                <w:sz w:val="17"/>
              </w:rPr>
              <w:t>P1</w:t>
            </w:r>
          </w:p>
        </w:tc>
        <w:tc>
          <w:tcPr>
            <w:tcW w:type="dxa" w:w="3600"/>
            <w:vAlign w:val="center"/>
            <w:tcMar>
              <w:top w:w="80" w:type="dxa"/>
              <w:start w:w="90" w:type="dxa"/>
              <w:bottom w:w="80" w:type="dxa"/>
              <w:end w:w="90" w:type="dxa"/>
            </w:tcMar>
          </w:tcPr>
          <w:p>
            <w:pPr>
              <w:spacing w:after="40"/>
            </w:pPr>
            <w:r>
              <w:rPr>
                <w:sz w:val="17"/>
              </w:rPr>
              <w:t>Adversarial/red-team engine</w:t>
            </w:r>
          </w:p>
        </w:tc>
        <w:tc>
          <w:tcPr>
            <w:tcW w:type="dxa" w:w="5040"/>
            <w:vAlign w:val="center"/>
            <w:tcMar>
              <w:top w:w="80" w:type="dxa"/>
              <w:start w:w="90" w:type="dxa"/>
              <w:bottom w:w="80" w:type="dxa"/>
              <w:end w:w="90" w:type="dxa"/>
            </w:tcMar>
          </w:tcPr>
          <w:p>
            <w:pPr>
              <w:spacing w:after="40"/>
            </w:pPr>
            <w:r>
              <w:rPr>
                <w:sz w:val="17"/>
              </w:rPr>
              <w:t>Actively searches for false discovery modes</w:t>
            </w:r>
          </w:p>
        </w:tc>
      </w:tr>
      <w:tr>
        <w:tc>
          <w:tcPr>
            <w:tcW w:type="dxa" w:w="1152"/>
            <w:vAlign w:val="center"/>
            <w:tcMar>
              <w:top w:w="80" w:type="dxa"/>
              <w:start w:w="90" w:type="dxa"/>
              <w:bottom w:w="80" w:type="dxa"/>
              <w:end w:w="90" w:type="dxa"/>
            </w:tcMar>
          </w:tcPr>
          <w:p>
            <w:pPr>
              <w:spacing w:after="40"/>
            </w:pPr>
            <w:r>
              <w:rPr>
                <w:sz w:val="17"/>
              </w:rPr>
              <w:t>P1</w:t>
            </w:r>
          </w:p>
        </w:tc>
        <w:tc>
          <w:tcPr>
            <w:tcW w:type="dxa" w:w="3600"/>
            <w:vAlign w:val="center"/>
            <w:tcMar>
              <w:top w:w="80" w:type="dxa"/>
              <w:start w:w="90" w:type="dxa"/>
              <w:bottom w:w="80" w:type="dxa"/>
              <w:end w:w="90" w:type="dxa"/>
            </w:tcMar>
          </w:tcPr>
          <w:p>
            <w:pPr>
              <w:spacing w:after="40"/>
            </w:pPr>
            <w:r>
              <w:rPr>
                <w:sz w:val="17"/>
              </w:rPr>
              <w:t>Knowledge/provenance graph</w:t>
            </w:r>
          </w:p>
        </w:tc>
        <w:tc>
          <w:tcPr>
            <w:tcW w:type="dxa" w:w="5040"/>
            <w:vAlign w:val="center"/>
            <w:tcMar>
              <w:top w:w="80" w:type="dxa"/>
              <w:start w:w="90" w:type="dxa"/>
              <w:bottom w:w="80" w:type="dxa"/>
              <w:end w:w="90" w:type="dxa"/>
            </w:tcMar>
          </w:tcPr>
          <w:p>
            <w:pPr>
              <w:spacing w:after="40"/>
            </w:pPr>
            <w:r>
              <w:rPr>
                <w:sz w:val="17"/>
              </w:rPr>
              <w:t>Makes the system auditable and traceable</w:t>
            </w:r>
          </w:p>
        </w:tc>
      </w:tr>
      <w:tr>
        <w:tc>
          <w:tcPr>
            <w:tcW w:type="dxa" w:w="1152"/>
            <w:vAlign w:val="center"/>
            <w:tcMar>
              <w:top w:w="80" w:type="dxa"/>
              <w:start w:w="90" w:type="dxa"/>
              <w:bottom w:w="80" w:type="dxa"/>
              <w:end w:w="90" w:type="dxa"/>
            </w:tcMar>
          </w:tcPr>
          <w:p>
            <w:pPr>
              <w:spacing w:after="40"/>
            </w:pPr>
            <w:r>
              <w:rPr>
                <w:sz w:val="17"/>
              </w:rPr>
              <w:t>P1</w:t>
            </w:r>
          </w:p>
        </w:tc>
        <w:tc>
          <w:tcPr>
            <w:tcW w:type="dxa" w:w="3600"/>
            <w:vAlign w:val="center"/>
            <w:tcMar>
              <w:top w:w="80" w:type="dxa"/>
              <w:start w:w="90" w:type="dxa"/>
              <w:bottom w:w="80" w:type="dxa"/>
              <w:end w:w="90" w:type="dxa"/>
            </w:tcMar>
          </w:tcPr>
          <w:p>
            <w:pPr>
              <w:spacing w:after="40"/>
            </w:pPr>
            <w:r>
              <w:rPr>
                <w:sz w:val="17"/>
              </w:rPr>
              <w:t>Out-of-distribution controls</w:t>
            </w:r>
          </w:p>
        </w:tc>
        <w:tc>
          <w:tcPr>
            <w:tcW w:type="dxa" w:w="5040"/>
            <w:vAlign w:val="center"/>
            <w:tcMar>
              <w:top w:w="80" w:type="dxa"/>
              <w:start w:w="90" w:type="dxa"/>
              <w:bottom w:w="80" w:type="dxa"/>
              <w:end w:w="90" w:type="dxa"/>
            </w:tcMar>
          </w:tcPr>
          <w:p>
            <w:pPr>
              <w:spacing w:after="40"/>
            </w:pPr>
            <w:r>
              <w:rPr>
                <w:sz w:val="17"/>
              </w:rPr>
              <w:t>Provides a safe “unknown” state</w:t>
            </w:r>
          </w:p>
        </w:tc>
      </w:tr>
      <w:tr>
        <w:tc>
          <w:tcPr>
            <w:tcW w:type="dxa" w:w="1152"/>
            <w:vAlign w:val="center"/>
            <w:tcMar>
              <w:top w:w="80" w:type="dxa"/>
              <w:start w:w="90" w:type="dxa"/>
              <w:bottom w:w="80" w:type="dxa"/>
              <w:end w:w="90" w:type="dxa"/>
            </w:tcMar>
          </w:tcPr>
          <w:p>
            <w:pPr>
              <w:spacing w:after="40"/>
            </w:pPr>
            <w:r>
              <w:rPr>
                <w:sz w:val="17"/>
              </w:rPr>
              <w:t>P2</w:t>
            </w:r>
          </w:p>
        </w:tc>
        <w:tc>
          <w:tcPr>
            <w:tcW w:type="dxa" w:w="3600"/>
            <w:vAlign w:val="center"/>
            <w:tcMar>
              <w:top w:w="80" w:type="dxa"/>
              <w:start w:w="90" w:type="dxa"/>
              <w:bottom w:w="80" w:type="dxa"/>
              <w:end w:w="90" w:type="dxa"/>
            </w:tcMar>
          </w:tcPr>
          <w:p>
            <w:pPr>
              <w:spacing w:after="40"/>
            </w:pPr>
            <w:r>
              <w:rPr>
                <w:sz w:val="17"/>
              </w:rPr>
              <w:t>Causal discovery</w:t>
            </w:r>
          </w:p>
        </w:tc>
        <w:tc>
          <w:tcPr>
            <w:tcW w:type="dxa" w:w="5040"/>
            <w:vAlign w:val="center"/>
            <w:tcMar>
              <w:top w:w="80" w:type="dxa"/>
              <w:start w:w="90" w:type="dxa"/>
              <w:bottom w:w="80" w:type="dxa"/>
              <w:end w:w="90" w:type="dxa"/>
            </w:tcMar>
          </w:tcPr>
          <w:p>
            <w:pPr>
              <w:spacing w:after="40"/>
            </w:pPr>
            <w:r>
              <w:rPr>
                <w:sz w:val="17"/>
              </w:rPr>
              <w:t>Improves experiment discrimination</w:t>
            </w:r>
          </w:p>
        </w:tc>
      </w:tr>
      <w:tr>
        <w:tc>
          <w:tcPr>
            <w:tcW w:type="dxa" w:w="1152"/>
            <w:vAlign w:val="center"/>
            <w:tcMar>
              <w:top w:w="80" w:type="dxa"/>
              <w:start w:w="90" w:type="dxa"/>
              <w:bottom w:w="80" w:type="dxa"/>
              <w:end w:w="90" w:type="dxa"/>
            </w:tcMar>
          </w:tcPr>
          <w:p>
            <w:pPr>
              <w:spacing w:after="40"/>
            </w:pPr>
            <w:r>
              <w:rPr>
                <w:sz w:val="17"/>
              </w:rPr>
              <w:t>P2</w:t>
            </w:r>
          </w:p>
        </w:tc>
        <w:tc>
          <w:tcPr>
            <w:tcW w:type="dxa" w:w="3600"/>
            <w:vAlign w:val="center"/>
            <w:tcMar>
              <w:top w:w="80" w:type="dxa"/>
              <w:start w:w="90" w:type="dxa"/>
              <w:bottom w:w="80" w:type="dxa"/>
              <w:end w:w="90" w:type="dxa"/>
            </w:tcMar>
          </w:tcPr>
          <w:p>
            <w:pPr>
              <w:spacing w:after="40"/>
            </w:pPr>
            <w:r>
              <w:rPr>
                <w:sz w:val="17"/>
              </w:rPr>
              <w:t>Materials/fabrication assurance</w:t>
            </w:r>
          </w:p>
        </w:tc>
        <w:tc>
          <w:tcPr>
            <w:tcW w:type="dxa" w:w="5040"/>
            <w:vAlign w:val="center"/>
            <w:tcMar>
              <w:top w:w="80" w:type="dxa"/>
              <w:start w:w="90" w:type="dxa"/>
              <w:bottom w:w="80" w:type="dxa"/>
              <w:end w:w="90" w:type="dxa"/>
            </w:tcMar>
          </w:tcPr>
          <w:p>
            <w:pPr>
              <w:spacing w:after="40"/>
            </w:pPr>
            <w:r>
              <w:rPr>
                <w:sz w:val="17"/>
              </w:rPr>
              <w:t>Enables translation into physical engineering</w:t>
            </w:r>
          </w:p>
        </w:tc>
      </w:tr>
      <w:tr>
        <w:tc>
          <w:tcPr>
            <w:tcW w:type="dxa" w:w="1152"/>
            <w:vAlign w:val="center"/>
            <w:tcMar>
              <w:top w:w="80" w:type="dxa"/>
              <w:start w:w="90" w:type="dxa"/>
              <w:bottom w:w="80" w:type="dxa"/>
              <w:end w:w="90" w:type="dxa"/>
            </w:tcMar>
          </w:tcPr>
          <w:p>
            <w:pPr>
              <w:spacing w:after="40"/>
            </w:pPr>
            <w:r>
              <w:rPr>
                <w:sz w:val="17"/>
              </w:rPr>
              <w:t>P2</w:t>
            </w:r>
          </w:p>
        </w:tc>
        <w:tc>
          <w:tcPr>
            <w:tcW w:type="dxa" w:w="3600"/>
            <w:vAlign w:val="center"/>
            <w:tcMar>
              <w:top w:w="80" w:type="dxa"/>
              <w:start w:w="90" w:type="dxa"/>
              <w:bottom w:w="80" w:type="dxa"/>
              <w:end w:w="90" w:type="dxa"/>
            </w:tcMar>
          </w:tcPr>
          <w:p>
            <w:pPr>
              <w:spacing w:after="40"/>
            </w:pPr>
            <w:r>
              <w:rPr>
                <w:sz w:val="17"/>
              </w:rPr>
              <w:t>IP/publication controls</w:t>
            </w:r>
          </w:p>
        </w:tc>
        <w:tc>
          <w:tcPr>
            <w:tcW w:type="dxa" w:w="5040"/>
            <w:vAlign w:val="center"/>
            <w:tcMar>
              <w:top w:w="80" w:type="dxa"/>
              <w:start w:w="90" w:type="dxa"/>
              <w:bottom w:w="80" w:type="dxa"/>
              <w:end w:w="90" w:type="dxa"/>
            </w:tcMar>
          </w:tcPr>
          <w:p>
            <w:pPr>
              <w:spacing w:after="40"/>
            </w:pPr>
            <w:r>
              <w:rPr>
                <w:sz w:val="17"/>
              </w:rPr>
              <w:t>Protects outputs and research priority</w:t>
            </w:r>
          </w:p>
        </w:tc>
      </w:tr>
    </w:tbl>
    <w:p>
      <w:pPr>
        <w:pStyle w:val="Heading1"/>
      </w:pPr>
      <w:r>
        <w:t>27. Definition of Done for the Assurance Layer</w:t>
      </w:r>
    </w:p>
    <w:p>
      <w:pPr>
        <w:pStyle w:val="Callout"/>
      </w:pPr>
      <w:r>
        <w:rPr>
          <w:b/>
        </w:rPr>
        <w:t xml:space="preserve">DONE MEANS. </w:t>
      </w:r>
      <w:r>
        <w:t>The platform can take a proposed equation or model, expose its assumptions, test units and mathematical consistency, run validated numerical benchmarks, quantify uncertainty, search meaningful alternatives, challenge the claim adversarially, record the complete provenance chain, and prevent promotion when evidence is insufficient. For physical experiments, the platform additionally enforces independent safety constraints and supports reproducible rollback.</w:t>
      </w:r>
    </w:p>
    <w:p>
      <w:pPr>
        <w:pStyle w:val="Heading1"/>
      </w:pPr>
      <w:r>
        <w:t>28. Relationship to the Other Requirements Documents</w:t>
      </w:r>
    </w:p>
    <w:tbl>
      <w:tblPr>
        <w:tblStyle w:val="TableGrid"/>
        <w:tblW w:type="auto" w:w="0"/>
        <w:jc w:val="center"/>
        <w:tblLook w:firstColumn="1" w:firstRow="1" w:lastColumn="0" w:lastRow="0" w:noHBand="0" w:noVBand="1" w:val="04A0"/>
      </w:tblPr>
      <w:tblGrid>
        <w:gridCol w:w="3331"/>
        <w:gridCol w:w="3331"/>
        <w:gridCol w:w="3331"/>
      </w:tblGrid>
      <w:tr>
        <w:trPr>
          <w:tblHeader w:val="true"/>
          <w:tblHeader w:val="true"/>
          <w:tblHeader w:val="true"/>
        </w:trPr>
        <w:tc>
          <w:tcPr>
            <w:tcW w:type="dxa" w:w="3168"/>
            <w:vAlign w:val="center"/>
            <w:tcMar>
              <w:top w:w="80" w:type="dxa"/>
              <w:start w:w="90" w:type="dxa"/>
              <w:bottom w:w="80" w:type="dxa"/>
              <w:end w:w="90" w:type="dxa"/>
            </w:tcMar>
            <w:shd w:fill="1F4E78"/>
          </w:tcPr>
          <w:p>
            <w:pPr>
              <w:spacing w:after="40"/>
            </w:pPr>
            <w:r>
              <w:rPr>
                <w:b/>
                <w:sz w:val="17"/>
              </w:rPr>
              <w:t>Document</w:t>
            </w:r>
          </w:p>
        </w:tc>
        <w:tc>
          <w:tcPr>
            <w:tcW w:type="dxa" w:w="3456"/>
            <w:vAlign w:val="center"/>
            <w:tcMar>
              <w:top w:w="80" w:type="dxa"/>
              <w:start w:w="90" w:type="dxa"/>
              <w:bottom w:w="80" w:type="dxa"/>
              <w:end w:w="90" w:type="dxa"/>
            </w:tcMar>
            <w:shd w:fill="1F4E78"/>
          </w:tcPr>
          <w:p>
            <w:pPr>
              <w:spacing w:after="40"/>
            </w:pPr>
            <w:r>
              <w:rPr>
                <w:b/>
                <w:sz w:val="17"/>
              </w:rPr>
              <w:t>Primary purpose</w:t>
            </w:r>
          </w:p>
        </w:tc>
        <w:tc>
          <w:tcPr>
            <w:tcW w:type="dxa" w:w="3168"/>
            <w:vAlign w:val="center"/>
            <w:tcMar>
              <w:top w:w="80" w:type="dxa"/>
              <w:start w:w="90" w:type="dxa"/>
              <w:bottom w:w="80" w:type="dxa"/>
              <w:end w:w="90" w:type="dxa"/>
            </w:tcMar>
            <w:shd w:fill="1F4E78"/>
          </w:tcPr>
          <w:p>
            <w:pPr>
              <w:spacing w:after="40"/>
            </w:pPr>
            <w:r>
              <w:rPr>
                <w:b/>
                <w:sz w:val="17"/>
              </w:rPr>
              <w:t>Relationship</w:t>
            </w:r>
          </w:p>
        </w:tc>
      </w:tr>
      <w:tr>
        <w:tc>
          <w:tcPr>
            <w:tcW w:type="dxa" w:w="3168"/>
            <w:vAlign w:val="center"/>
            <w:tcMar>
              <w:top w:w="80" w:type="dxa"/>
              <w:start w:w="90" w:type="dxa"/>
              <w:bottom w:w="80" w:type="dxa"/>
              <w:end w:w="90" w:type="dxa"/>
            </w:tcMar>
          </w:tcPr>
          <w:p>
            <w:pPr>
              <w:spacing w:after="40"/>
            </w:pPr>
            <w:r>
              <w:rPr>
                <w:sz w:val="17"/>
              </w:rPr>
              <w:t>Non-Technical Requirements &amp; Operating Model</w:t>
            </w:r>
          </w:p>
        </w:tc>
        <w:tc>
          <w:tcPr>
            <w:tcW w:type="dxa" w:w="3456"/>
            <w:vAlign w:val="center"/>
            <w:tcMar>
              <w:top w:w="80" w:type="dxa"/>
              <w:start w:w="90" w:type="dxa"/>
              <w:bottom w:w="80" w:type="dxa"/>
              <w:end w:w="90" w:type="dxa"/>
            </w:tcMar>
          </w:tcPr>
          <w:p>
            <w:pPr>
              <w:spacing w:after="40"/>
            </w:pPr>
            <w:r>
              <w:rPr>
                <w:sz w:val="17"/>
              </w:rPr>
              <w:t>Vision, stakeholders, outcomes, governance and operating principles</w:t>
            </w:r>
          </w:p>
        </w:tc>
        <w:tc>
          <w:tcPr>
            <w:tcW w:type="dxa" w:w="3168"/>
            <w:vAlign w:val="center"/>
            <w:tcMar>
              <w:top w:w="80" w:type="dxa"/>
              <w:start w:w="90" w:type="dxa"/>
              <w:bottom w:w="80" w:type="dxa"/>
              <w:end w:w="90" w:type="dxa"/>
            </w:tcMar>
          </w:tcPr>
          <w:p>
            <w:pPr>
              <w:spacing w:after="40"/>
            </w:pPr>
            <w:r>
              <w:rPr>
                <w:sz w:val="17"/>
              </w:rPr>
              <w:t>Defines why and under what organizational rules the platform exists</w:t>
            </w:r>
          </w:p>
        </w:tc>
      </w:tr>
      <w:tr>
        <w:tc>
          <w:tcPr>
            <w:tcW w:type="dxa" w:w="3168"/>
            <w:vAlign w:val="center"/>
            <w:tcMar>
              <w:top w:w="80" w:type="dxa"/>
              <w:start w:w="90" w:type="dxa"/>
              <w:bottom w:w="80" w:type="dxa"/>
              <w:end w:w="90" w:type="dxa"/>
            </w:tcMar>
          </w:tcPr>
          <w:p>
            <w:pPr>
              <w:spacing w:after="40"/>
            </w:pPr>
            <w:r>
              <w:rPr>
                <w:sz w:val="17"/>
              </w:rPr>
              <w:t>Technical Requirements Specification</w:t>
            </w:r>
          </w:p>
        </w:tc>
        <w:tc>
          <w:tcPr>
            <w:tcW w:type="dxa" w:w="3456"/>
            <w:vAlign w:val="center"/>
            <w:tcMar>
              <w:top w:w="80" w:type="dxa"/>
              <w:start w:w="90" w:type="dxa"/>
              <w:bottom w:w="80" w:type="dxa"/>
              <w:end w:w="90" w:type="dxa"/>
            </w:tcMar>
          </w:tcPr>
          <w:p>
            <w:pPr>
              <w:spacing w:after="40"/>
            </w:pPr>
            <w:r>
              <w:rPr>
                <w:sz w:val="17"/>
              </w:rPr>
              <w:t>Software, data, model, infrastructure and interface requirements</w:t>
            </w:r>
          </w:p>
        </w:tc>
        <w:tc>
          <w:tcPr>
            <w:tcW w:type="dxa" w:w="3168"/>
            <w:vAlign w:val="center"/>
            <w:tcMar>
              <w:top w:w="80" w:type="dxa"/>
              <w:start w:w="90" w:type="dxa"/>
              <w:bottom w:w="80" w:type="dxa"/>
              <w:end w:w="90" w:type="dxa"/>
            </w:tcMar>
          </w:tcPr>
          <w:p>
            <w:pPr>
              <w:spacing w:after="40"/>
            </w:pPr>
            <w:r>
              <w:rPr>
                <w:sz w:val="17"/>
              </w:rPr>
              <w:t>Defines what must be built</w:t>
            </w:r>
          </w:p>
        </w:tc>
      </w:tr>
      <w:tr>
        <w:tc>
          <w:tcPr>
            <w:tcW w:type="dxa" w:w="3168"/>
            <w:vAlign w:val="center"/>
            <w:tcMar>
              <w:top w:w="80" w:type="dxa"/>
              <w:start w:w="90" w:type="dxa"/>
              <w:bottom w:w="80" w:type="dxa"/>
              <w:end w:w="90" w:type="dxa"/>
            </w:tcMar>
          </w:tcPr>
          <w:p>
            <w:pPr>
              <w:spacing w:after="40"/>
            </w:pPr>
            <w:r>
              <w:rPr>
                <w:sz w:val="17"/>
              </w:rPr>
              <w:t>Scientific &amp; Mathematical Assurance Specification</w:t>
            </w:r>
          </w:p>
        </w:tc>
        <w:tc>
          <w:tcPr>
            <w:tcW w:type="dxa" w:w="3456"/>
            <w:vAlign w:val="center"/>
            <w:tcMar>
              <w:top w:w="80" w:type="dxa"/>
              <w:start w:w="90" w:type="dxa"/>
              <w:bottom w:w="80" w:type="dxa"/>
              <w:end w:w="90" w:type="dxa"/>
            </w:tcMar>
          </w:tcPr>
          <w:p>
            <w:pPr>
              <w:spacing w:after="40"/>
            </w:pPr>
            <w:r>
              <w:rPr>
                <w:sz w:val="17"/>
              </w:rPr>
              <w:t>Evidence, validation, falsification, safety and self-improvement controls</w:t>
            </w:r>
          </w:p>
        </w:tc>
        <w:tc>
          <w:tcPr>
            <w:tcW w:type="dxa" w:w="3168"/>
            <w:vAlign w:val="center"/>
            <w:tcMar>
              <w:top w:w="80" w:type="dxa"/>
              <w:start w:w="90" w:type="dxa"/>
              <w:bottom w:w="80" w:type="dxa"/>
              <w:end w:w="90" w:type="dxa"/>
            </w:tcMar>
          </w:tcPr>
          <w:p>
            <w:pPr>
              <w:spacing w:after="40"/>
            </w:pPr>
            <w:r>
              <w:rPr>
                <w:sz w:val="17"/>
              </w:rPr>
              <w:t>Defines how the platform earns trust and how claims are promoted</w:t>
            </w:r>
          </w:p>
        </w:tc>
      </w:tr>
    </w:tbl>
    <w:p>
      <w:pPr>
        <w:pStyle w:val="Heading1"/>
      </w:pPr>
      <w:r>
        <w:t>29. Closing Requirement</w:t>
      </w:r>
    </w:p>
    <w:p>
      <w:pPr>
        <w:jc w:val="center"/>
      </w:pPr>
      <w:r>
        <w:rPr>
          <w:b/>
          <w:sz w:val="26"/>
        </w:rPr>
        <w:t>The platform must be optimized not merely to generate answers, but to discover which answers deserve to be believed.</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APEDP • Scientific &amp; Mathematical Assurance Specification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&amp; Mathematical Assurance Specification</dc:title>
  <dc:subject>Assurance requirements for APEDP</dc:subject>
  <dc:creator>APEDP Engineering</dc:creator>
  <cp:keywords>physics, quantum, chemistry, energy, assurance, discovery, falsification, AI, engineering</cp:keywords>
  <dc:description>generated by python-docx</dc:description>
  <cp:lastModifiedBy/>
  <cp:revision>1</cp:revision>
  <dcterms:created xsi:type="dcterms:W3CDTF">2013-12-23T23:15:00Z</dcterms:created>
  <dcterms:modified xsi:type="dcterms:W3CDTF">2013-12-23T23:15:00Z</dcterms:modified>
  <cp:category/>
</cp:coreProperties>
</file>