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sz w:val="26"/>
          <w:szCs w:val="26"/>
        </w:rPr>
        <w:t xml:space="preserve">B.E CSE (IoT &amp; Cyber Security Including</w:t>
      </w:r>
    </w:p>
    <w:p>
      <w:pPr>
        <w:spacing w:after="300"/>
        <w:jc w:val="center"/>
      </w:pPr>
      <w:r>
        <w:rPr>
          <w:rFonts w:ascii="Times New Roman" w:cs="Times New Roman" w:eastAsia="Times New Roman" w:hAnsi="Times New Roman"/>
          <w:b/>
          <w:bCs/>
          <w:sz w:val="26"/>
          <w:szCs w:val="26"/>
        </w:rPr>
        <w:t xml:space="preserve">Blockchain Technology)</w:t>
      </w:r>
    </w:p>
    <w:p>
      <w:pPr>
        <w:spacing w:after="100"/>
        <w:jc w:val="center"/>
      </w:pPr>
      <w:r>
        <w:rPr>
          <w:rFonts w:ascii="Times New Roman" w:cs="Times New Roman" w:eastAsia="Times New Roman" w:hAnsi="Times New Roman"/>
          <w:b/>
          <w:bCs/>
          <w:sz w:val="32"/>
          <w:szCs w:val="32"/>
        </w:rPr>
        <w:t xml:space="preserve">Capstone-I Project Synopsis</w:t>
      </w:r>
    </w:p>
    <w:p>
      <w:pPr>
        <w:spacing w:after="500"/>
        <w:jc w:val="center"/>
      </w:pPr>
      <w:r>
        <w:rPr>
          <w:rFonts w:ascii="Times New Roman" w:cs="Times New Roman" w:eastAsia="Times New Roman" w:hAnsi="Times New Roman"/>
          <w:sz w:val="24"/>
          <w:szCs w:val="24"/>
        </w:rPr>
        <w:t xml:space="preserve">Academic Year 2025–26 (Even Semester)</w:t>
      </w:r>
    </w:p>
    <w:p>
      <w:pPr>
        <w:spacing w:after="60"/>
        <w:jc w:val="center"/>
      </w:pPr>
      <w:r>
        <w:rPr>
          <w:rFonts w:ascii="Times New Roman" w:cs="Times New Roman" w:eastAsia="Times New Roman" w:hAnsi="Times New Roman"/>
          <w:b/>
          <w:bCs/>
          <w:sz w:val="24"/>
          <w:szCs w:val="24"/>
        </w:rPr>
        <w:t xml:space="preserve">Project Title</w:t>
      </w:r>
    </w:p>
    <w:p>
      <w:pPr>
        <w:spacing w:after="100"/>
        <w:jc w:val="center"/>
      </w:pPr>
      <w:r>
        <w:rPr>
          <w:rFonts w:ascii="Times New Roman" w:cs="Times New Roman" w:eastAsia="Times New Roman" w:hAnsi="Times New Roman"/>
          <w:b/>
          <w:bCs/>
          <w:sz w:val="26"/>
          <w:szCs w:val="26"/>
        </w:rPr>
        <w:t xml:space="preserve">Kinesis: A Fraud-Resistant, Self-Sustaining</w:t>
      </w:r>
    </w:p>
    <w:p>
      <w:pPr>
        <w:spacing w:after="500"/>
        <w:jc w:val="center"/>
      </w:pPr>
      <w:r>
        <w:rPr>
          <w:rFonts w:ascii="Times New Roman" w:cs="Times New Roman" w:eastAsia="Times New Roman" w:hAnsi="Times New Roman"/>
          <w:b/>
          <w:bCs/>
          <w:sz w:val="26"/>
          <w:szCs w:val="26"/>
        </w:rPr>
        <w:t xml:space="preserve">Play-to-Earn and Move-to-Earn Web3 Ecosystem</w:t>
      </w:r>
    </w:p>
    <w:p>
      <w:pPr>
        <w:spacing w:after="120"/>
        <w:jc w:val="center"/>
      </w:pPr>
      <w:r>
        <w:rPr>
          <w:rFonts w:ascii="Times New Roman" w:cs="Times New Roman" w:eastAsia="Times New Roman" w:hAnsi="Times New Roman"/>
          <w:b/>
          <w:bCs/>
          <w:sz w:val="24"/>
          <w:szCs w:val="24"/>
        </w:rPr>
        <w:t xml:space="preserve">Student Details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600"/>
            <w:shd w:fill="1E2761" w:color="auto" w:val="clear"/>
            <w:tcMar>
              <w:top w:type="dxa" w:w="100"/>
              <w:left w:type="dxa" w:w="120"/>
              <w:bottom w:type="dxa" w:w="100"/>
              <w:right w:type="dxa" w:w="120"/>
            </w:tcMar>
          </w:tcPr>
          <w:p>
            <w:r>
              <w:rPr>
                <w:rFonts w:ascii="Times New Roman" w:cs="Times New Roman" w:eastAsia="Times New Roman" w:hAnsi="Times New Roman"/>
                <w:b/>
                <w:bCs/>
                <w:color w:val="FFFFFF"/>
                <w:sz w:val="22"/>
                <w:szCs w:val="22"/>
              </w:rPr>
              <w:t xml:space="preserve">Student Name</w:t>
            </w:r>
          </w:p>
        </w:tc>
        <w:tc>
          <w:tcPr>
            <w:tcW w:type="dxa" w:w="2400"/>
            <w:shd w:fill="1E2761" w:color="auto" w:val="clear"/>
            <w:tcMar>
              <w:top w:type="dxa" w:w="100"/>
              <w:left w:type="dxa" w:w="120"/>
              <w:bottom w:type="dxa" w:w="100"/>
              <w:right w:type="dxa" w:w="120"/>
            </w:tcMar>
          </w:tcPr>
          <w:p>
            <w:r>
              <w:rPr>
                <w:rFonts w:ascii="Times New Roman" w:cs="Times New Roman" w:eastAsia="Times New Roman" w:hAnsi="Times New Roman"/>
                <w:b/>
                <w:bCs/>
                <w:color w:val="FFFFFF"/>
                <w:sz w:val="22"/>
                <w:szCs w:val="22"/>
              </w:rPr>
              <w:t xml:space="preserve">Roll Number</w:t>
            </w:r>
          </w:p>
        </w:tc>
      </w:tr>
      <w:tr>
        <w:tc>
          <w:tcPr>
            <w:tcW w:type="dxa" w:w="3600"/>
            <w:tcMar>
              <w:top w:type="dxa" w:w="100"/>
              <w:left w:type="dxa" w:w="120"/>
              <w:bottom w:type="dxa" w:w="100"/>
              <w:right w:type="dxa" w:w="120"/>
            </w:tcMar>
          </w:tcPr>
          <w:p>
            <w:r>
              <w:rPr>
                <w:rFonts w:ascii="Times New Roman" w:cs="Times New Roman" w:eastAsia="Times New Roman" w:hAnsi="Times New Roman"/>
                <w:b w:val="false"/>
                <w:bCs w:val="false"/>
                <w:color w:val="000000"/>
                <w:sz w:val="22"/>
                <w:szCs w:val="22"/>
              </w:rPr>
              <w:t xml:space="preserve">P Samuel Vijay</w:t>
            </w:r>
          </w:p>
        </w:tc>
        <w:tc>
          <w:tcPr>
            <w:tcW w:type="dxa" w:w="2400"/>
            <w:tcMar>
              <w:top w:type="dxa" w:w="100"/>
              <w:left w:type="dxa" w:w="120"/>
              <w:bottom w:type="dxa" w:w="100"/>
              <w:right w:type="dxa" w:w="120"/>
            </w:tcMar>
          </w:tcPr>
          <w:p>
            <w:r>
              <w:rPr>
                <w:rFonts w:ascii="Times New Roman" w:cs="Times New Roman" w:eastAsia="Times New Roman" w:hAnsi="Times New Roman"/>
                <w:b w:val="false"/>
                <w:bCs w:val="false"/>
                <w:color w:val="000000"/>
                <w:sz w:val="22"/>
                <w:szCs w:val="22"/>
              </w:rPr>
              <w:t xml:space="preserve">2451-23-749-051</w:t>
            </w:r>
          </w:p>
        </w:tc>
      </w:tr>
      <w:tr>
        <w:tc>
          <w:tcPr>
            <w:tcW w:type="dxa" w:w="3600"/>
            <w:tcMar>
              <w:top w:type="dxa" w:w="100"/>
              <w:left w:type="dxa" w:w="120"/>
              <w:bottom w:type="dxa" w:w="100"/>
              <w:right w:type="dxa" w:w="120"/>
            </w:tcMar>
          </w:tcPr>
          <w:p>
            <w:r>
              <w:rPr>
                <w:rFonts w:ascii="Times New Roman" w:cs="Times New Roman" w:eastAsia="Times New Roman" w:hAnsi="Times New Roman"/>
                <w:b w:val="false"/>
                <w:bCs w:val="false"/>
                <w:color w:val="000000"/>
                <w:sz w:val="22"/>
                <w:szCs w:val="22"/>
              </w:rPr>
              <w:t xml:space="preserve">A Sriharsh</w:t>
            </w:r>
          </w:p>
        </w:tc>
        <w:tc>
          <w:tcPr>
            <w:tcW w:type="dxa" w:w="2400"/>
            <w:tcMar>
              <w:top w:type="dxa" w:w="100"/>
              <w:left w:type="dxa" w:w="120"/>
              <w:bottom w:type="dxa" w:w="100"/>
              <w:right w:type="dxa" w:w="120"/>
            </w:tcMar>
          </w:tcPr>
          <w:p>
            <w:r>
              <w:rPr>
                <w:rFonts w:ascii="Times New Roman" w:cs="Times New Roman" w:eastAsia="Times New Roman" w:hAnsi="Times New Roman"/>
                <w:b w:val="false"/>
                <w:bCs w:val="false"/>
                <w:color w:val="000000"/>
                <w:sz w:val="22"/>
                <w:szCs w:val="22"/>
              </w:rPr>
              <w:t xml:space="preserve">2451-23-749-060</w:t>
            </w:r>
          </w:p>
        </w:tc>
      </w:tr>
    </w:tbl>
    <w:p>
      <w:pPr>
        <w:spacing w:after="120" w:before="500"/>
        <w:jc w:val="center"/>
      </w:pPr>
      <w:r>
        <w:rPr>
          <w:rFonts w:ascii="Times New Roman" w:cs="Times New Roman" w:eastAsia="Times New Roman" w:hAnsi="Times New Roman"/>
          <w:b/>
          <w:bCs/>
          <w:sz w:val="24"/>
          <w:szCs w:val="24"/>
        </w:rPr>
        <w:t xml:space="preserve">Faculty Guide</w:t>
      </w:r>
    </w:p>
    <w:p>
      <w:pPr>
        <w:spacing w:after="40"/>
        <w:jc w:val="center"/>
      </w:pPr>
      <w:r>
        <w:rPr>
          <w:rFonts w:ascii="Times New Roman" w:cs="Times New Roman" w:eastAsia="Times New Roman" w:hAnsi="Times New Roman"/>
          <w:i/>
          <w:iCs/>
          <w:sz w:val="24"/>
          <w:szCs w:val="24"/>
        </w:rPr>
        <w:t xml:space="preserve">[ Faculty Guide Name ]</w:t>
      </w:r>
    </w:p>
    <w:p>
      <w:pPr>
        <w:spacing w:after="40"/>
        <w:jc w:val="center"/>
      </w:pPr>
      <w:r>
        <w:rPr>
          <w:rFonts w:ascii="Times New Roman" w:cs="Times New Roman" w:eastAsia="Times New Roman" w:hAnsi="Times New Roman"/>
          <w:sz w:val="22"/>
          <w:szCs w:val="22"/>
        </w:rPr>
        <w:t xml:space="preserve">Designation, Dept. of CSE</w:t>
      </w:r>
    </w:p>
    <w:p>
      <w:pPr>
        <w:spacing w:before="500"/>
        <w:jc w:val="center"/>
      </w:pPr>
      <w:r>
        <w:rPr>
          <w:rFonts w:ascii="Times New Roman" w:cs="Times New Roman" w:eastAsia="Times New Roman" w:hAnsi="Times New Roman"/>
          <w:b/>
          <w:bCs/>
          <w:sz w:val="22"/>
          <w:szCs w:val="22"/>
        </w:rPr>
        <w:t xml:space="preserve">Department of Computer Science and Engineering</w:t>
      </w:r>
    </w:p>
    <w:p>
      <w:pPr>
        <w:jc w:val="center"/>
      </w:pPr>
      <w:r>
        <w:rPr>
          <w:rFonts w:ascii="Times New Roman" w:cs="Times New Roman" w:eastAsia="Times New Roman" w:hAnsi="Times New Roman"/>
          <w:b/>
          <w:bCs/>
          <w:sz w:val="22"/>
          <w:szCs w:val="22"/>
        </w:rPr>
        <w:t xml:space="preserve">(IoT &amp; Cyber Security Including Blockchain Technology)</w:t>
      </w:r>
    </w:p>
    <w:p>
      <w:pPr>
        <w:sectPr>
          <w:pgSz w:w="11906" w:h="16838" w:orient="portrait"/>
          <w:pgMar w:top="1000" w:right="1200" w:bottom="1000" w:left="1200" w:header="708" w:footer="708" w:gutter="0"/>
          <w:pgNumType/>
          <w:docGrid w:linePitch="360"/>
        </w:sectPr>
      </w:pPr>
    </w:p>
    <w:p>
      <w:pPr>
        <w:spacing w:after="140" w:before="260"/>
      </w:pPr>
      <w:r>
        <w:rPr>
          <w:rFonts w:ascii="Times New Roman" w:cs="Times New Roman" w:eastAsia="Times New Roman" w:hAnsi="Times New Roman"/>
          <w:b/>
          <w:bCs/>
          <w:sz w:val="28"/>
          <w:szCs w:val="28"/>
        </w:rPr>
        <w:t xml:space="preserve">1. Problem Statement</w:t>
      </w:r>
    </w:p>
    <w:p>
      <w:pPr>
        <w:spacing w:after="160" w:line="300"/>
        <w:jc w:val="both"/>
      </w:pPr>
      <w:r>
        <w:rPr>
          <w:rFonts w:ascii="Times New Roman" w:cs="Times New Roman" w:eastAsia="Times New Roman" w:hAnsi="Times New Roman"/>
          <w:b/>
          <w:bCs/>
          <w:sz w:val="24"/>
          <w:szCs w:val="24"/>
        </w:rPr>
        <w:t xml:space="preserve">Domain: Blockchain Technology (Play-to-Earn / Move-to-Earn Web3 Applications)</w:t>
      </w:r>
    </w:p>
    <w:p>
      <w:pPr>
        <w:spacing w:after="160" w:line="300"/>
        <w:jc w:val="both"/>
      </w:pPr>
      <w:r>
        <w:rPr>
          <w:rFonts w:ascii="Times New Roman" w:cs="Times New Roman" w:eastAsia="Times New Roman" w:hAnsi="Times New Roman"/>
          <w:sz w:val="24"/>
          <w:szCs w:val="24"/>
        </w:rPr>
        <w:t xml:space="preserve">Move-to-earn and play-to-earn (P2E) platforms combine blockchain-based rewards with everyday activities such as walking, casual gaming, and staking. Platforms in this category (e.g. Sweatcoin, StepN, Axie Infinity) have demonstrated genuine user demand, but they consistently suffer from two unresolved structural problems. First, reward issuance frequently outpaces real token demand, causing rapid token-value collapse once early-adopter incentives fade. Second, these platforms have no reliable way to verify that rewarded activity is genuine: bots, GPS-spoofing tools, and emulators can fabricate step or gameplay data to farm rewards undetected.</w:t>
      </w:r>
    </w:p>
    <w:p>
      <w:pPr>
        <w:spacing w:after="160" w:line="300"/>
        <w:jc w:val="both"/>
      </w:pPr>
      <w:r>
        <w:rPr>
          <w:rFonts w:ascii="Times New Roman" w:cs="Times New Roman" w:eastAsia="Times New Roman" w:hAnsi="Times New Roman"/>
          <w:sz w:val="24"/>
          <w:szCs w:val="24"/>
        </w:rPr>
        <w:t xml:space="preserve">This issue affects everyday users seeking legitimate activity-based rewards, platform operators who cannot sustain their token economy, and the broader Web3 ecosystem, whose credibility is repeatedly undermined by high-profile economic collapses. These problems are especially common in consumer-facing Web3 applications that combine on-chain payments with off-chain, real-world user activity.</w:t>
      </w:r>
    </w:p>
    <w:p>
      <w:pPr>
        <w:spacing w:after="160" w:line="300"/>
        <w:jc w:val="both"/>
      </w:pPr>
      <w:r>
        <w:rPr>
          <w:rFonts w:ascii="Times New Roman" w:cs="Times New Roman" w:eastAsia="Times New Roman" w:hAnsi="Times New Roman"/>
          <w:sz w:val="24"/>
          <w:szCs w:val="24"/>
        </w:rPr>
        <w:t xml:space="preserve">The proposed project aims to develop Kinesis, a fraud-resistant and self-sustaining play-to-earn and move-to-earn Web3 ecosystem. The system integrates a dual-token economic model, an AI-driven behavioural verification layer that fuses on-chain wallet behaviour with off-chain phone-sensor plausibility checks, and a permissioned audit ledger, to detect fraudulent reward claims early and sustain the platform's token economy over time.</w:t>
      </w:r>
    </w:p>
    <w:p>
      <w:pPr>
        <w:spacing w:after="140" w:before="260"/>
      </w:pPr>
      <w:r>
        <w:rPr>
          <w:rFonts w:ascii="Times New Roman" w:cs="Times New Roman" w:eastAsia="Times New Roman" w:hAnsi="Times New Roman"/>
          <w:b/>
          <w:bCs/>
          <w:sz w:val="28"/>
          <w:szCs w:val="28"/>
        </w:rPr>
        <w:t xml:space="preserve">2. Motivation and Relevance</w:t>
      </w:r>
    </w:p>
    <w:p>
      <w:pPr>
        <w:spacing w:after="160" w:line="300"/>
        <w:jc w:val="both"/>
      </w:pPr>
      <w:r>
        <w:rPr>
          <w:rFonts w:ascii="Times New Roman" w:cs="Times New Roman" w:eastAsia="Times New Roman" w:hAnsi="Times New Roman"/>
          <w:sz w:val="24"/>
          <w:szCs w:val="24"/>
        </w:rPr>
        <w:t xml:space="preserve">The rapid growth of consumer-facing Web3 applications has made sustainable, fraud-resistant reward systems a significant open challenge. Traditional move-to-earn platforms address neither tokenomics sustainability nor activity fraud in a unified way, resulting in repeated economic collapses and eroded user trust. Integrating AI-driven fraud detection with deliberately engineered token economics enables early detection of fraudulent activity, improves platform sustainability, and reduces the financial risk borne by genuine users.</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Industrial Relevance: </w:t>
      </w:r>
      <w:r>
        <w:rPr>
          <w:rFonts w:ascii="Times New Roman" w:cs="Times New Roman" w:eastAsia="Times New Roman" w:hAnsi="Times New Roman"/>
          <w:sz w:val="24"/>
          <w:szCs w:val="24"/>
        </w:rPr>
        <w:t xml:space="preserve">Supports the design of sustainable, auditable reward economies for the growing decentralized physical infrastructure and Web3 gaming industries.</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Societal Relevance: </w:t>
      </w:r>
      <w:r>
        <w:rPr>
          <w:rFonts w:ascii="Times New Roman" w:cs="Times New Roman" w:eastAsia="Times New Roman" w:hAnsi="Times New Roman"/>
          <w:sz w:val="24"/>
          <w:szCs w:val="24"/>
        </w:rPr>
        <w:t xml:space="preserve">Encourages genuine physical activity at mass scale while protecting ordinary users from token-value collapse caused by unchecked reward fraud.</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Technological Relevance: </w:t>
      </w:r>
      <w:r>
        <w:rPr>
          <w:rFonts w:ascii="Times New Roman" w:cs="Times New Roman" w:eastAsia="Times New Roman" w:hAnsi="Times New Roman"/>
          <w:sz w:val="24"/>
          <w:szCs w:val="24"/>
        </w:rPr>
        <w:t xml:space="preserve">Demonstrates the integration of modern Web3 and security tools, including Solidity smart contracts, Hyperledger Fabric, Chainlink VRF, ERC-4337 account abstraction, and AI-based behavioural fingerprinting.</w:t>
      </w:r>
    </w:p>
    <w:p>
      <w:pPr>
        <w:pStyle w:val="ListParagraph"/>
        <w:numPr>
          <w:ilvl w:val="0"/>
          <w:numId w:val="2"/>
        </w:numPr>
        <w:spacing w:after="120" w:line="300"/>
        <w:jc w:val="both"/>
      </w:pPr>
      <w:r>
        <w:rPr>
          <w:rFonts w:ascii="Times New Roman" w:cs="Times New Roman" w:eastAsia="Times New Roman" w:hAnsi="Times New Roman"/>
          <w:b/>
          <w:bCs/>
          <w:sz w:val="24"/>
          <w:szCs w:val="24"/>
        </w:rPr>
        <w:t xml:space="preserve">Impact: </w:t>
      </w:r>
      <w:r>
        <w:rPr>
          <w:rFonts w:ascii="Times New Roman" w:cs="Times New Roman" w:eastAsia="Times New Roman" w:hAnsi="Times New Roman"/>
          <w:sz w:val="24"/>
          <w:szCs w:val="24"/>
        </w:rPr>
        <w:t xml:space="preserve">Enables early fraud detection, reduces the risk of token-value collapse, improves platform transparency, and provides a demonstrable, auditable revenue model for platform sustainability.</w:t>
      </w:r>
    </w:p>
    <w:p>
      <w:pPr>
        <w:spacing w:after="140" w:before="260"/>
      </w:pPr>
      <w:r>
        <w:rPr>
          <w:rFonts w:ascii="Times New Roman" w:cs="Times New Roman" w:eastAsia="Times New Roman" w:hAnsi="Times New Roman"/>
          <w:b/>
          <w:bCs/>
          <w:sz w:val="28"/>
          <w:szCs w:val="28"/>
        </w:rPr>
        <w:t xml:space="preserve">3. Literature Study</w:t>
      </w:r>
    </w:p>
    <w:p>
      <w:pPr>
        <w:spacing w:after="60" w:line="300"/>
        <w:jc w:val="both"/>
      </w:pPr>
      <w:r>
        <w:rPr>
          <w:rFonts w:ascii="Times New Roman" w:cs="Times New Roman" w:eastAsia="Times New Roman" w:hAnsi="Times New Roman"/>
          <w:sz w:val="24"/>
          <w:szCs w:val="24"/>
        </w:rPr>
        <w:t xml:space="preserve">The following five recent works were reviewed for their direct relevance to the economic, security, and infrastructure components of the proposed system.</w:t>
      </w:r>
    </w:p>
    <w:p>
      <w:pPr>
        <w:spacing w:after="60" w:before="180"/>
      </w:pPr>
      <w:r>
        <w:rPr>
          <w:rFonts w:ascii="Times New Roman" w:cs="Times New Roman" w:eastAsia="Times New Roman" w:hAnsi="Times New Roman"/>
          <w:b/>
          <w:bCs/>
          <w:i/>
          <w:iCs/>
          <w:sz w:val="24"/>
          <w:szCs w:val="24"/>
        </w:rPr>
        <w:t xml:space="preserve">1. Yu, J., Zhang, M., Chen, X., Fang, Z. (2022) – “SoK: Play-to-Earn Projects,” arXiv:2211.01000.</w:t>
      </w:r>
    </w:p>
    <w:p>
      <w:pPr>
        <w:spacing w:after="60" w:line="290"/>
        <w:ind w:left="360"/>
        <w:jc w:val="both"/>
      </w:pPr>
      <w:r>
        <w:rPr>
          <w:rFonts w:ascii="Times New Roman" w:cs="Times New Roman" w:eastAsia="Times New Roman" w:hAnsi="Times New Roman"/>
          <w:b/>
          <w:bCs/>
          <w:sz w:val="22"/>
          <w:szCs w:val="22"/>
        </w:rPr>
        <w:t xml:space="preserve">Approach: </w:t>
      </w:r>
      <w:r>
        <w:rPr>
          <w:rFonts w:ascii="Times New Roman" w:cs="Times New Roman" w:eastAsia="Times New Roman" w:hAnsi="Times New Roman"/>
          <w:sz w:val="22"/>
          <w:szCs w:val="22"/>
        </w:rPr>
        <w:t xml:space="preserve">Systematic study of play-to-earn blockchain games, analysing their economic and governance models, token designs, and implementation architectures.</w:t>
      </w:r>
    </w:p>
    <w:p>
      <w:pPr>
        <w:spacing w:after="60" w:line="290"/>
        <w:ind w:left="360"/>
        <w:jc w:val="both"/>
      </w:pPr>
      <w:r>
        <w:rPr>
          <w:rFonts w:ascii="Times New Roman" w:cs="Times New Roman" w:eastAsia="Times New Roman" w:hAnsi="Times New Roman"/>
          <w:b/>
          <w:bCs/>
          <w:sz w:val="22"/>
          <w:szCs w:val="22"/>
        </w:rPr>
        <w:t xml:space="preserve">Relevant Contribution: </w:t>
      </w:r>
      <w:r>
        <w:rPr>
          <w:rFonts w:ascii="Times New Roman" w:cs="Times New Roman" w:eastAsia="Times New Roman" w:hAnsi="Times New Roman"/>
          <w:sz w:val="22"/>
          <w:szCs w:val="22"/>
        </w:rPr>
        <w:t xml:space="preserve">Documents recurring tokenomics failure modes — including irregular token issuance and treasury mismanagement — across platforms such as StepN and Axie Infinity.</w:t>
      </w:r>
    </w:p>
    <w:p>
      <w:pPr>
        <w:spacing w:after="60" w:line="290"/>
        <w:ind w:left="360"/>
        <w:jc w:val="both"/>
      </w:pPr>
      <w:r>
        <w:rPr>
          <w:rFonts w:ascii="Times New Roman" w:cs="Times New Roman" w:eastAsia="Times New Roman" w:hAnsi="Times New Roman"/>
          <w:b/>
          <w:bCs/>
          <w:sz w:val="22"/>
          <w:szCs w:val="22"/>
        </w:rPr>
        <w:t xml:space="preserve">Limitation: </w:t>
      </w:r>
      <w:r>
        <w:rPr>
          <w:rFonts w:ascii="Times New Roman" w:cs="Times New Roman" w:eastAsia="Times New Roman" w:hAnsi="Times New Roman"/>
          <w:sz w:val="22"/>
          <w:szCs w:val="22"/>
        </w:rPr>
        <w:t xml:space="preserve">Provides a diagnostic taxonomy of these challenges but does not propose a concrete mechanism, such as a dual-token sink/faucet design, to prevent them.</w:t>
      </w:r>
    </w:p>
    <w:p>
      <w:pPr>
        <w:spacing w:after="60" w:before="180"/>
      </w:pPr>
      <w:r>
        <w:rPr>
          <w:rFonts w:ascii="Times New Roman" w:cs="Times New Roman" w:eastAsia="Times New Roman" w:hAnsi="Times New Roman"/>
          <w:b/>
          <w:bCs/>
          <w:i/>
          <w:iCs/>
          <w:sz w:val="24"/>
          <w:szCs w:val="24"/>
        </w:rPr>
        <w:t xml:space="preserve">2. Kim, H., Kim, H.-S., Park, Y.-S. (2023) – “Evaluating and Managing Tokenomics for Non-Fungible Tokens in Game-Based Blockchain Networks,” arXiv:2306.13672.</w:t>
      </w:r>
    </w:p>
    <w:p>
      <w:pPr>
        <w:spacing w:after="60" w:line="290"/>
        <w:ind w:left="360"/>
        <w:jc w:val="both"/>
      </w:pPr>
      <w:r>
        <w:rPr>
          <w:rFonts w:ascii="Times New Roman" w:cs="Times New Roman" w:eastAsia="Times New Roman" w:hAnsi="Times New Roman"/>
          <w:b/>
          <w:bCs/>
          <w:sz w:val="22"/>
          <w:szCs w:val="22"/>
        </w:rPr>
        <w:t xml:space="preserve">Approach: </w:t>
      </w:r>
      <w:r>
        <w:rPr>
          <w:rFonts w:ascii="Times New Roman" w:cs="Times New Roman" w:eastAsia="Times New Roman" w:hAnsi="Times New Roman"/>
          <w:sz w:val="22"/>
          <w:szCs w:val="22"/>
        </w:rPr>
        <w:t xml:space="preserve">Proposes an automated-market-maker (AMM) based reward-adjustment method to manage NFT and token inflation using rarity and swap-ratio factors.</w:t>
      </w:r>
    </w:p>
    <w:p>
      <w:pPr>
        <w:spacing w:after="60" w:line="290"/>
        <w:ind w:left="360"/>
        <w:jc w:val="both"/>
      </w:pPr>
      <w:r>
        <w:rPr>
          <w:rFonts w:ascii="Times New Roman" w:cs="Times New Roman" w:eastAsia="Times New Roman" w:hAnsi="Times New Roman"/>
          <w:b/>
          <w:bCs/>
          <w:sz w:val="22"/>
          <w:szCs w:val="22"/>
        </w:rPr>
        <w:t xml:space="preserve">Relevant Contribution: </w:t>
      </w:r>
      <w:r>
        <w:rPr>
          <w:rFonts w:ascii="Times New Roman" w:cs="Times New Roman" w:eastAsia="Times New Roman" w:hAnsi="Times New Roman"/>
          <w:sz w:val="22"/>
          <w:szCs w:val="22"/>
        </w:rPr>
        <w:t xml:space="preserve">Demonstrates a quantitative mechanism for controlling unscheduled token-supply growth in play-to-earn ecosystems.</w:t>
      </w:r>
    </w:p>
    <w:p>
      <w:pPr>
        <w:spacing w:after="60" w:line="290"/>
        <w:ind w:left="360"/>
        <w:jc w:val="both"/>
      </w:pPr>
      <w:r>
        <w:rPr>
          <w:rFonts w:ascii="Times New Roman" w:cs="Times New Roman" w:eastAsia="Times New Roman" w:hAnsi="Times New Roman"/>
          <w:b/>
          <w:bCs/>
          <w:sz w:val="22"/>
          <w:szCs w:val="22"/>
        </w:rPr>
        <w:t xml:space="preserve">Limitation: </w:t>
      </w:r>
      <w:r>
        <w:rPr>
          <w:rFonts w:ascii="Times New Roman" w:cs="Times New Roman" w:eastAsia="Times New Roman" w:hAnsi="Times New Roman"/>
          <w:sz w:val="22"/>
          <w:szCs w:val="22"/>
        </w:rPr>
        <w:t xml:space="preserve">Addresses NFT valuation and inflation control only; does not consider user-activity verification or fraud detection.</w:t>
      </w:r>
    </w:p>
    <w:p>
      <w:pPr>
        <w:spacing w:after="60" w:before="180"/>
      </w:pPr>
      <w:r>
        <w:rPr>
          <w:rFonts w:ascii="Times New Roman" w:cs="Times New Roman" w:eastAsia="Times New Roman" w:hAnsi="Times New Roman"/>
          <w:b/>
          <w:bCs/>
          <w:i/>
          <w:iCs/>
          <w:sz w:val="24"/>
          <w:szCs w:val="24"/>
        </w:rPr>
        <w:t xml:space="preserve">3. Chaitanya Anil, I., Onkar Popat, G., Samyak Gautamrao, A., Shinkar, S.V. (2026) – “Blockchain for Fraud Detection in Financial Transactions,” Proceedings of ICCCT 2025, Springer LNNS vol. 1674.</w:t>
      </w:r>
    </w:p>
    <w:p>
      <w:pPr>
        <w:spacing w:after="60" w:line="290"/>
        <w:ind w:left="360"/>
        <w:jc w:val="both"/>
      </w:pPr>
      <w:r>
        <w:rPr>
          <w:rFonts w:ascii="Times New Roman" w:cs="Times New Roman" w:eastAsia="Times New Roman" w:hAnsi="Times New Roman"/>
          <w:b/>
          <w:bCs/>
          <w:sz w:val="22"/>
          <w:szCs w:val="22"/>
        </w:rPr>
        <w:t xml:space="preserve">Approach: </w:t>
      </w:r>
      <w:r>
        <w:rPr>
          <w:rFonts w:ascii="Times New Roman" w:cs="Times New Roman" w:eastAsia="Times New Roman" w:hAnsi="Times New Roman"/>
          <w:sz w:val="22"/>
          <w:szCs w:val="22"/>
        </w:rPr>
        <w:t xml:space="preserve">On-chain, smart-contract-based risk-scoring model that evaluates transaction size, frequency, velocity, and KYC status to flag suspicious activity in real time.</w:t>
      </w:r>
    </w:p>
    <w:p>
      <w:pPr>
        <w:spacing w:after="60" w:line="290"/>
        <w:ind w:left="360"/>
        <w:jc w:val="both"/>
      </w:pPr>
      <w:r>
        <w:rPr>
          <w:rFonts w:ascii="Times New Roman" w:cs="Times New Roman" w:eastAsia="Times New Roman" w:hAnsi="Times New Roman"/>
          <w:b/>
          <w:bCs/>
          <w:sz w:val="22"/>
          <w:szCs w:val="22"/>
        </w:rPr>
        <w:t xml:space="preserve">Relevant Contribution: </w:t>
      </w:r>
      <w:r>
        <w:rPr>
          <w:rFonts w:ascii="Times New Roman" w:cs="Times New Roman" w:eastAsia="Times New Roman" w:hAnsi="Times New Roman"/>
          <w:sz w:val="22"/>
          <w:szCs w:val="22"/>
        </w:rPr>
        <w:t xml:space="preserve">Shows that fraud risk-scoring can be computed directly on-chain without centralized oversight, preserving transparency and immutability.</w:t>
      </w:r>
    </w:p>
    <w:p>
      <w:pPr>
        <w:spacing w:after="60" w:line="290"/>
        <w:ind w:left="360"/>
        <w:jc w:val="both"/>
      </w:pPr>
      <w:r>
        <w:rPr>
          <w:rFonts w:ascii="Times New Roman" w:cs="Times New Roman" w:eastAsia="Times New Roman" w:hAnsi="Times New Roman"/>
          <w:b/>
          <w:bCs/>
          <w:sz w:val="22"/>
          <w:szCs w:val="22"/>
        </w:rPr>
        <w:t xml:space="preserve">Limitation: </w:t>
      </w:r>
      <w:r>
        <w:rPr>
          <w:rFonts w:ascii="Times New Roman" w:cs="Times New Roman" w:eastAsia="Times New Roman" w:hAnsi="Times New Roman"/>
          <w:sz w:val="22"/>
          <w:szCs w:val="22"/>
        </w:rPr>
        <w:t xml:space="preserve">Relies solely on on-chain transaction metadata; does not fuse off-chain physical or behavioural signals, limiting its ability to detect activity-based fraud.</w:t>
      </w:r>
    </w:p>
    <w:p>
      <w:pPr>
        <w:spacing w:after="60" w:before="180"/>
      </w:pPr>
      <w:r>
        <w:rPr>
          <w:rFonts w:ascii="Times New Roman" w:cs="Times New Roman" w:eastAsia="Times New Roman" w:hAnsi="Times New Roman"/>
          <w:b/>
          <w:bCs/>
          <w:i/>
          <w:iCs/>
          <w:sz w:val="24"/>
          <w:szCs w:val="24"/>
        </w:rPr>
        <w:t xml:space="preserve">4. Campos, J. et al. (2020) – “A Machine Learning Based Smartphone App for GPS Spoofing Detection,” SecureComm 2020, Springer LNICST vol. 336.</w:t>
      </w:r>
    </w:p>
    <w:p>
      <w:pPr>
        <w:spacing w:after="60" w:line="290"/>
        <w:ind w:left="360"/>
        <w:jc w:val="both"/>
      </w:pPr>
      <w:r>
        <w:rPr>
          <w:rFonts w:ascii="Times New Roman" w:cs="Times New Roman" w:eastAsia="Times New Roman" w:hAnsi="Times New Roman"/>
          <w:b/>
          <w:bCs/>
          <w:sz w:val="22"/>
          <w:szCs w:val="22"/>
        </w:rPr>
        <w:t xml:space="preserve">Approach: </w:t>
      </w:r>
      <w:r>
        <w:rPr>
          <w:rFonts w:ascii="Times New Roman" w:cs="Times New Roman" w:eastAsia="Times New Roman" w:hAnsi="Times New Roman"/>
          <w:sz w:val="22"/>
          <w:szCs w:val="22"/>
        </w:rPr>
        <w:t xml:space="preserve">Applies supervised machine learning (Random Forest, SVM, KNN) on GPS signal-to-noise ratio and satellite-tracking features to classify spoofed locations, deployed via an Android application.</w:t>
      </w:r>
    </w:p>
    <w:p>
      <w:pPr>
        <w:spacing w:after="60" w:line="290"/>
        <w:ind w:left="360"/>
        <w:jc w:val="both"/>
      </w:pPr>
      <w:r>
        <w:rPr>
          <w:rFonts w:ascii="Times New Roman" w:cs="Times New Roman" w:eastAsia="Times New Roman" w:hAnsi="Times New Roman"/>
          <w:b/>
          <w:bCs/>
          <w:sz w:val="22"/>
          <w:szCs w:val="22"/>
        </w:rPr>
        <w:t xml:space="preserve">Relevant Contribution: </w:t>
      </w:r>
      <w:r>
        <w:rPr>
          <w:rFonts w:ascii="Times New Roman" w:cs="Times New Roman" w:eastAsia="Times New Roman" w:hAnsi="Times New Roman"/>
          <w:sz w:val="22"/>
          <w:szCs w:val="22"/>
        </w:rPr>
        <w:t xml:space="preserve">Achieves up to 99.5% spoofing-detection accuracy using lightweight, on-device features suitable for smartphone deployment.</w:t>
      </w:r>
    </w:p>
    <w:p>
      <w:pPr>
        <w:spacing w:after="60" w:line="290"/>
        <w:ind w:left="360"/>
        <w:jc w:val="both"/>
      </w:pPr>
      <w:r>
        <w:rPr>
          <w:rFonts w:ascii="Times New Roman" w:cs="Times New Roman" w:eastAsia="Times New Roman" w:hAnsi="Times New Roman"/>
          <w:b/>
          <w:bCs/>
          <w:sz w:val="22"/>
          <w:szCs w:val="22"/>
        </w:rPr>
        <w:t xml:space="preserve">Limitation: </w:t>
      </w:r>
      <w:r>
        <w:rPr>
          <w:rFonts w:ascii="Times New Roman" w:cs="Times New Roman" w:eastAsia="Times New Roman" w:hAnsi="Times New Roman"/>
          <w:sz w:val="22"/>
          <w:szCs w:val="22"/>
        </w:rPr>
        <w:t xml:space="preserve">Detection is limited to GPS signal-level spoofing and does not fuse other mobile sensors or on-chain behavioural context.</w:t>
      </w:r>
    </w:p>
    <w:p>
      <w:pPr>
        <w:spacing w:after="60" w:before="180"/>
      </w:pPr>
      <w:r>
        <w:rPr>
          <w:rFonts w:ascii="Times New Roman" w:cs="Times New Roman" w:eastAsia="Times New Roman" w:hAnsi="Times New Roman"/>
          <w:b/>
          <w:bCs/>
          <w:i/>
          <w:iCs/>
          <w:sz w:val="24"/>
          <w:szCs w:val="24"/>
        </w:rPr>
        <w:t xml:space="preserve">5. Honar Pajooh, H., Rashid, M., Alam, F., Demidenko, S. (2021) – “Hyperledger Fabric Blockchain for Securing the Edge Internet of Things,” Sensors, 21(2), 359.</w:t>
      </w:r>
    </w:p>
    <w:p>
      <w:pPr>
        <w:spacing w:after="60" w:line="290"/>
        <w:ind w:left="360"/>
        <w:jc w:val="both"/>
      </w:pPr>
      <w:r>
        <w:rPr>
          <w:rFonts w:ascii="Times New Roman" w:cs="Times New Roman" w:eastAsia="Times New Roman" w:hAnsi="Times New Roman"/>
          <w:b/>
          <w:bCs/>
          <w:sz w:val="22"/>
          <w:szCs w:val="22"/>
        </w:rPr>
        <w:t xml:space="preserve">Approach: </w:t>
      </w:r>
      <w:r>
        <w:rPr>
          <w:rFonts w:ascii="Times New Roman" w:cs="Times New Roman" w:eastAsia="Times New Roman" w:hAnsi="Times New Roman"/>
          <w:sz w:val="22"/>
          <w:szCs w:val="22"/>
        </w:rPr>
        <w:t xml:space="preserve">Implements a permissioned Hyperledger Fabric network with a layered architecture providing identity management, local authentication, and tamper-proof data traceability for IoT edge devices.</w:t>
      </w:r>
    </w:p>
    <w:p>
      <w:pPr>
        <w:spacing w:after="60" w:line="290"/>
        <w:ind w:left="360"/>
        <w:jc w:val="both"/>
      </w:pPr>
      <w:r>
        <w:rPr>
          <w:rFonts w:ascii="Times New Roman" w:cs="Times New Roman" w:eastAsia="Times New Roman" w:hAnsi="Times New Roman"/>
          <w:b/>
          <w:bCs/>
          <w:sz w:val="22"/>
          <w:szCs w:val="22"/>
        </w:rPr>
        <w:t xml:space="preserve">Relevant Contribution: </w:t>
      </w:r>
      <w:r>
        <w:rPr>
          <w:rFonts w:ascii="Times New Roman" w:cs="Times New Roman" w:eastAsia="Times New Roman" w:hAnsi="Times New Roman"/>
          <w:sz w:val="22"/>
          <w:szCs w:val="22"/>
        </w:rPr>
        <w:t xml:space="preserve">Provides practical performance benchmarks (throughput, latency, resource use) validating Hyperledger Fabric's feasibility for real-time auditing on resource-constrained devices.</w:t>
      </w:r>
    </w:p>
    <w:p>
      <w:pPr>
        <w:spacing w:after="60" w:line="290"/>
        <w:ind w:left="360"/>
        <w:jc w:val="both"/>
      </w:pPr>
      <w:r>
        <w:rPr>
          <w:rFonts w:ascii="Times New Roman" w:cs="Times New Roman" w:eastAsia="Times New Roman" w:hAnsi="Times New Roman"/>
          <w:b/>
          <w:bCs/>
          <w:sz w:val="22"/>
          <w:szCs w:val="22"/>
        </w:rPr>
        <w:t xml:space="preserve">Limitation: </w:t>
      </w:r>
      <w:r>
        <w:rPr>
          <w:rFonts w:ascii="Times New Roman" w:cs="Times New Roman" w:eastAsia="Times New Roman" w:hAnsi="Times New Roman"/>
          <w:sz w:val="22"/>
          <w:szCs w:val="22"/>
        </w:rPr>
        <w:t xml:space="preserve">Focused on device-level IoT authentication and data provenance; does not address application-layer fraud such as spoofed user activity or reward manipulation.</w:t>
      </w:r>
    </w:p>
    <w:p>
      <w:pPr>
        <w:spacing w:after="180" w:line="300"/>
        <w:jc w:val="both"/>
      </w:pPr>
      <w:r>
        <w:rPr>
          <w:rFonts w:ascii="Times New Roman" w:cs="Times New Roman" w:eastAsia="Times New Roman" w:hAnsi="Times New Roman"/>
          <w:sz w:val="24"/>
          <w:szCs w:val="24"/>
        </w:rPr>
        <w:t xml:space="preserve">Synthesis: existing literature separately addresses P2E tokenomics sustainability, NFT inflation control, on-chain fraud scoring, smartphone-based GPS spoofing detection, and Hyperledger Fabric-based IoT auditing. However, no reviewed work integrates sustainable dual-token design with off-chain, phone-sensor-based fraud verification within a single, permissioned-ledger-audited reward system — the gap this project addresses.</w:t>
      </w:r>
    </w:p>
    <w:p>
      <w:pPr>
        <w:spacing w:after="140" w:before="260"/>
      </w:pPr>
      <w:r>
        <w:rPr>
          <w:rFonts w:ascii="Times New Roman" w:cs="Times New Roman" w:eastAsia="Times New Roman" w:hAnsi="Times New Roman"/>
          <w:b/>
          <w:bCs/>
          <w:sz w:val="28"/>
          <w:szCs w:val="28"/>
        </w:rPr>
        <w:t xml:space="preserve">4. Need for Advanced Cybersecurity Technologies and AI/ML Integration</w:t>
      </w:r>
    </w:p>
    <w:p>
      <w:pPr>
        <w:spacing w:after="160" w:line="300"/>
        <w:jc w:val="both"/>
      </w:pPr>
      <w:r>
        <w:rPr>
          <w:rFonts w:ascii="Times New Roman" w:cs="Times New Roman" w:eastAsia="Times New Roman" w:hAnsi="Times New Roman"/>
          <w:sz w:val="24"/>
          <w:szCs w:val="24"/>
        </w:rPr>
        <w:t xml:space="preserve">Blockchain immutability alone does not prevent fraudulent activity from entering the system in the first place: a spoofed step count or an automated game action, once signed and submitted, is recorded just as permanently as a genuine one. Advanced cybersecurity and AI/ML techniques are therefore required at the point of data entry, not only at the point of storage. The project integrates AI-driven behavioural fingerprinting to assess whether a reward claim is physically and behaviourally plausible before it is committed to either the payment layer or the audit ledger, combined with a permissioned Hyperledger Fabric layer to guarantee that once a decision is recorded, it cannot be altered.</w:t>
      </w:r>
    </w:p>
    <w:p>
      <w:pPr>
        <w:spacing w:after="120" w:before="200"/>
      </w:pPr>
      <w:r>
        <w:rPr>
          <w:rFonts w:ascii="Times New Roman" w:cs="Times New Roman" w:eastAsia="Times New Roman" w:hAnsi="Times New Roman"/>
          <w:b/>
          <w:bCs/>
          <w:sz w:val="26"/>
          <w:szCs w:val="26"/>
        </w:rPr>
        <w:t xml:space="preserve">4.1 Technology and Methodology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1E2761" w:color="auto" w:val="clear"/>
            <w:tcMar>
              <w:top w:type="dxa" w:w="100"/>
              <w:left w:type="dxa" w:w="120"/>
              <w:bottom w:type="dxa" w:w="100"/>
              <w:right w:type="dxa" w:w="120"/>
            </w:tcMar>
          </w:tcPr>
          <w:p>
            <w:r>
              <w:rPr>
                <w:rFonts w:ascii="Times New Roman" w:cs="Times New Roman" w:eastAsia="Times New Roman" w:hAnsi="Times New Roman"/>
                <w:b/>
                <w:bCs/>
                <w:color w:val="FFFFFF"/>
                <w:sz w:val="22"/>
                <w:szCs w:val="22"/>
              </w:rPr>
              <w:t xml:space="preserve">Technology</w:t>
            </w:r>
          </w:p>
        </w:tc>
        <w:tc>
          <w:tcPr>
            <w:tcW w:type="dxa" w:w="6000"/>
            <w:shd w:fill="1E2761" w:color="auto" w:val="clear"/>
            <w:tcMar>
              <w:top w:type="dxa" w:w="100"/>
              <w:left w:type="dxa" w:w="120"/>
              <w:bottom w:type="dxa" w:w="100"/>
              <w:right w:type="dxa" w:w="120"/>
            </w:tcMar>
          </w:tcPr>
          <w:p>
            <w:r>
              <w:rPr>
                <w:rFonts w:ascii="Times New Roman" w:cs="Times New Roman" w:eastAsia="Times New Roman" w:hAnsi="Times New Roman"/>
                <w:b/>
                <w:bCs/>
                <w:color w:val="FFFFFF"/>
                <w:sz w:val="22"/>
                <w:szCs w:val="22"/>
              </w:rPr>
              <w:t xml:space="preserve">Role / Methodology</w:t>
            </w:r>
          </w:p>
        </w:tc>
      </w:tr>
      <w:tr>
        <w:tc>
          <w:tcPr>
            <w:tcW w:type="dxa" w:w="3000"/>
            <w:tcMar>
              <w:top w:type="dxa" w:w="100"/>
              <w:left w:type="dxa" w:w="120"/>
              <w:bottom w:type="dxa" w:w="100"/>
              <w:right w:type="dxa" w:w="120"/>
            </w:tcMar>
          </w:tcPr>
          <w:p>
            <w:r>
              <w:rPr>
                <w:rFonts w:ascii="Times New Roman" w:cs="Times New Roman" w:eastAsia="Times New Roman" w:hAnsi="Times New Roman"/>
                <w:b w:val="false"/>
                <w:bCs w:val="false"/>
                <w:color w:val="000000"/>
                <w:sz w:val="22"/>
                <w:szCs w:val="22"/>
              </w:rPr>
              <w:t xml:space="preserve">Solidity Smart Contracts</w:t>
            </w:r>
          </w:p>
        </w:tc>
        <w:tc>
          <w:tcPr>
            <w:tcW w:type="dxa" w:w="6000"/>
            <w:tcMar>
              <w:top w:type="dxa" w:w="100"/>
              <w:left w:type="dxa" w:w="120"/>
              <w:bottom w:type="dxa" w:w="100"/>
              <w:right w:type="dxa" w:w="120"/>
            </w:tcMar>
          </w:tcPr>
          <w:p>
            <w:r>
              <w:rPr>
                <w:rFonts w:ascii="Times New Roman" w:cs="Times New Roman" w:eastAsia="Times New Roman" w:hAnsi="Times New Roman"/>
                <w:b w:val="false"/>
                <w:bCs w:val="false"/>
                <w:color w:val="000000"/>
                <w:sz w:val="22"/>
                <w:szCs w:val="22"/>
              </w:rPr>
              <w:t xml:space="preserve">Automate staking, game settlement, and treasury logic on a public testnet without central authority.</w:t>
            </w:r>
          </w:p>
        </w:tc>
      </w:tr>
      <w:tr>
        <w:tc>
          <w:tcPr>
            <w:tcW w:type="dxa" w:w="3000"/>
            <w:tcMar>
              <w:top w:type="dxa" w:w="100"/>
              <w:left w:type="dxa" w:w="120"/>
              <w:bottom w:type="dxa" w:w="100"/>
              <w:right w:type="dxa" w:w="120"/>
            </w:tcMar>
          </w:tcPr>
          <w:p>
            <w:r>
              <w:rPr>
                <w:rFonts w:ascii="Times New Roman" w:cs="Times New Roman" w:eastAsia="Times New Roman" w:hAnsi="Times New Roman"/>
                <w:b w:val="false"/>
                <w:bCs w:val="false"/>
                <w:color w:val="000000"/>
                <w:sz w:val="22"/>
                <w:szCs w:val="22"/>
              </w:rPr>
              <w:t xml:space="preserve">Hyperledger Fabric</w:t>
            </w:r>
          </w:p>
        </w:tc>
        <w:tc>
          <w:tcPr>
            <w:tcW w:type="dxa" w:w="6000"/>
            <w:tcMar>
              <w:top w:type="dxa" w:w="100"/>
              <w:left w:type="dxa" w:w="120"/>
              <w:bottom w:type="dxa" w:w="100"/>
              <w:right w:type="dxa" w:w="120"/>
            </w:tcMar>
          </w:tcPr>
          <w:p>
            <w:r>
              <w:rPr>
                <w:rFonts w:ascii="Times New Roman" w:cs="Times New Roman" w:eastAsia="Times New Roman" w:hAnsi="Times New Roman"/>
                <w:b w:val="false"/>
                <w:bCs w:val="false"/>
                <w:color w:val="000000"/>
                <w:sz w:val="22"/>
                <w:szCs w:val="22"/>
              </w:rPr>
              <w:t xml:space="preserve">Provides a permissioned, immutable audit ledger for reward claims, fraud flags, and governance actions.</w:t>
            </w:r>
          </w:p>
        </w:tc>
      </w:tr>
      <w:tr>
        <w:tc>
          <w:tcPr>
            <w:tcW w:type="dxa" w:w="3000"/>
            <w:tcMar>
              <w:top w:type="dxa" w:w="100"/>
              <w:left w:type="dxa" w:w="120"/>
              <w:bottom w:type="dxa" w:w="100"/>
              <w:right w:type="dxa" w:w="120"/>
            </w:tcMar>
          </w:tcPr>
          <w:p>
            <w:r>
              <w:rPr>
                <w:rFonts w:ascii="Times New Roman" w:cs="Times New Roman" w:eastAsia="Times New Roman" w:hAnsi="Times New Roman"/>
                <w:b w:val="false"/>
                <w:bCs w:val="false"/>
                <w:color w:val="000000"/>
                <w:sz w:val="22"/>
                <w:szCs w:val="22"/>
              </w:rPr>
              <w:t xml:space="preserve">AI / ML (Scikit-learn, PyTorch)</w:t>
            </w:r>
          </w:p>
        </w:tc>
        <w:tc>
          <w:tcPr>
            <w:tcW w:type="dxa" w:w="6000"/>
            <w:tcMar>
              <w:top w:type="dxa" w:w="100"/>
              <w:left w:type="dxa" w:w="120"/>
              <w:bottom w:type="dxa" w:w="100"/>
              <w:right w:type="dxa" w:w="120"/>
            </w:tcMar>
          </w:tcPr>
          <w:p>
            <w:r>
              <w:rPr>
                <w:rFonts w:ascii="Times New Roman" w:cs="Times New Roman" w:eastAsia="Times New Roman" w:hAnsi="Times New Roman"/>
                <w:b w:val="false"/>
                <w:bCs w:val="false"/>
                <w:color w:val="000000"/>
                <w:sz w:val="22"/>
                <w:szCs w:val="22"/>
              </w:rPr>
              <w:t xml:space="preserve">Behavioural fingerprinting model fusing mobile sensor data and on-chain wallet behaviour to score reward-claim authenticity.</w:t>
            </w:r>
          </w:p>
        </w:tc>
      </w:tr>
      <w:tr>
        <w:tc>
          <w:tcPr>
            <w:tcW w:type="dxa" w:w="3000"/>
            <w:tcMar>
              <w:top w:type="dxa" w:w="100"/>
              <w:left w:type="dxa" w:w="120"/>
              <w:bottom w:type="dxa" w:w="100"/>
              <w:right w:type="dxa" w:w="120"/>
            </w:tcMar>
          </w:tcPr>
          <w:p>
            <w:r>
              <w:rPr>
                <w:rFonts w:ascii="Times New Roman" w:cs="Times New Roman" w:eastAsia="Times New Roman" w:hAnsi="Times New Roman"/>
                <w:b w:val="false"/>
                <w:bCs w:val="false"/>
                <w:color w:val="000000"/>
                <w:sz w:val="22"/>
                <w:szCs w:val="22"/>
              </w:rPr>
              <w:t xml:space="preserve">Mobile Sensor APIs (Accelerometer, Gyroscope, GPS)</w:t>
            </w:r>
          </w:p>
        </w:tc>
        <w:tc>
          <w:tcPr>
            <w:tcW w:type="dxa" w:w="6000"/>
            <w:tcMar>
              <w:top w:type="dxa" w:w="100"/>
              <w:left w:type="dxa" w:w="120"/>
              <w:bottom w:type="dxa" w:w="100"/>
              <w:right w:type="dxa" w:w="120"/>
            </w:tcMar>
          </w:tcPr>
          <w:p>
            <w:r>
              <w:rPr>
                <w:rFonts w:ascii="Times New Roman" w:cs="Times New Roman" w:eastAsia="Times New Roman" w:hAnsi="Times New Roman"/>
                <w:b w:val="false"/>
                <w:bCs w:val="false"/>
                <w:color w:val="000000"/>
                <w:sz w:val="22"/>
                <w:szCs w:val="22"/>
              </w:rPr>
              <w:t xml:space="preserve">Capture raw physical motion data used as input features for fraud/spoofing detection.</w:t>
            </w:r>
          </w:p>
        </w:tc>
      </w:tr>
      <w:tr>
        <w:tc>
          <w:tcPr>
            <w:tcW w:type="dxa" w:w="3000"/>
            <w:tcMar>
              <w:top w:type="dxa" w:w="100"/>
              <w:left w:type="dxa" w:w="120"/>
              <w:bottom w:type="dxa" w:w="100"/>
              <w:right w:type="dxa" w:w="120"/>
            </w:tcMar>
          </w:tcPr>
          <w:p>
            <w:r>
              <w:rPr>
                <w:rFonts w:ascii="Times New Roman" w:cs="Times New Roman" w:eastAsia="Times New Roman" w:hAnsi="Times New Roman"/>
                <w:b w:val="false"/>
                <w:bCs w:val="false"/>
                <w:color w:val="000000"/>
                <w:sz w:val="22"/>
                <w:szCs w:val="22"/>
              </w:rPr>
              <w:t xml:space="preserve">Chainlink VRF</w:t>
            </w:r>
          </w:p>
        </w:tc>
        <w:tc>
          <w:tcPr>
            <w:tcW w:type="dxa" w:w="6000"/>
            <w:tcMar>
              <w:top w:type="dxa" w:w="100"/>
              <w:left w:type="dxa" w:w="120"/>
              <w:bottom w:type="dxa" w:w="100"/>
              <w:right w:type="dxa" w:w="120"/>
            </w:tcMar>
          </w:tcPr>
          <w:p>
            <w:r>
              <w:rPr>
                <w:rFonts w:ascii="Times New Roman" w:cs="Times New Roman" w:eastAsia="Times New Roman" w:hAnsi="Times New Roman"/>
                <w:b w:val="false"/>
                <w:bCs w:val="false"/>
                <w:color w:val="000000"/>
                <w:sz w:val="22"/>
                <w:szCs w:val="22"/>
              </w:rPr>
              <w:t xml:space="preserve">Supplies verifiable, tamper-proof randomness for provably-fair in-app game outcomes.</w:t>
            </w:r>
          </w:p>
        </w:tc>
      </w:tr>
      <w:tr>
        <w:tc>
          <w:tcPr>
            <w:tcW w:type="dxa" w:w="3000"/>
            <w:tcMar>
              <w:top w:type="dxa" w:w="100"/>
              <w:left w:type="dxa" w:w="120"/>
              <w:bottom w:type="dxa" w:w="100"/>
              <w:right w:type="dxa" w:w="120"/>
            </w:tcMar>
          </w:tcPr>
          <w:p>
            <w:r>
              <w:rPr>
                <w:rFonts w:ascii="Times New Roman" w:cs="Times New Roman" w:eastAsia="Times New Roman" w:hAnsi="Times New Roman"/>
                <w:b w:val="false"/>
                <w:bCs w:val="false"/>
                <w:color w:val="000000"/>
                <w:sz w:val="22"/>
                <w:szCs w:val="22"/>
              </w:rPr>
              <w:t xml:space="preserve">ERC-4337 Account Abstraction</w:t>
            </w:r>
          </w:p>
        </w:tc>
        <w:tc>
          <w:tcPr>
            <w:tcW w:type="dxa" w:w="6000"/>
            <w:tcMar>
              <w:top w:type="dxa" w:w="100"/>
              <w:left w:type="dxa" w:w="120"/>
              <w:bottom w:type="dxa" w:w="100"/>
              <w:right w:type="dxa" w:w="120"/>
            </w:tcMar>
          </w:tcPr>
          <w:p>
            <w:r>
              <w:rPr>
                <w:rFonts w:ascii="Times New Roman" w:cs="Times New Roman" w:eastAsia="Times New Roman" w:hAnsi="Times New Roman"/>
                <w:b w:val="false"/>
                <w:bCs w:val="false"/>
                <w:color w:val="000000"/>
                <w:sz w:val="22"/>
                <w:szCs w:val="22"/>
              </w:rPr>
              <w:t xml:space="preserve">Enables gasless onboarding, removing the need for new users to hold crypto before using the app.</w:t>
            </w:r>
          </w:p>
        </w:tc>
      </w:tr>
      <w:tr>
        <w:tc>
          <w:tcPr>
            <w:tcW w:type="dxa" w:w="3000"/>
            <w:tcMar>
              <w:top w:type="dxa" w:w="100"/>
              <w:left w:type="dxa" w:w="120"/>
              <w:bottom w:type="dxa" w:w="100"/>
              <w:right w:type="dxa" w:w="120"/>
            </w:tcMar>
          </w:tcPr>
          <w:p>
            <w:r>
              <w:rPr>
                <w:rFonts w:ascii="Times New Roman" w:cs="Times New Roman" w:eastAsia="Times New Roman" w:hAnsi="Times New Roman"/>
                <w:b w:val="false"/>
                <w:bCs w:val="false"/>
                <w:color w:val="000000"/>
                <w:sz w:val="22"/>
                <w:szCs w:val="22"/>
              </w:rPr>
              <w:t xml:space="preserve">Flask Backend</w:t>
            </w:r>
          </w:p>
        </w:tc>
        <w:tc>
          <w:tcPr>
            <w:tcW w:type="dxa" w:w="6000"/>
            <w:tcMar>
              <w:top w:type="dxa" w:w="100"/>
              <w:left w:type="dxa" w:w="120"/>
              <w:bottom w:type="dxa" w:w="100"/>
              <w:right w:type="dxa" w:w="120"/>
            </w:tcMar>
          </w:tcPr>
          <w:p>
            <w:r>
              <w:rPr>
                <w:rFonts w:ascii="Times New Roman" w:cs="Times New Roman" w:eastAsia="Times New Roman" w:hAnsi="Times New Roman"/>
                <w:b w:val="false"/>
                <w:bCs w:val="false"/>
                <w:color w:val="000000"/>
                <w:sz w:val="22"/>
                <w:szCs w:val="22"/>
              </w:rPr>
              <w:t xml:space="preserve">Orchestrates data flow between the frontend, AI verification layer, and blockchain layers.</w:t>
            </w:r>
          </w:p>
        </w:tc>
      </w:tr>
      <w:tr>
        <w:tc>
          <w:tcPr>
            <w:tcW w:type="dxa" w:w="3000"/>
            <w:tcMar>
              <w:top w:type="dxa" w:w="100"/>
              <w:left w:type="dxa" w:w="120"/>
              <w:bottom w:type="dxa" w:w="100"/>
              <w:right w:type="dxa" w:w="120"/>
            </w:tcMar>
          </w:tcPr>
          <w:p>
            <w:r>
              <w:rPr>
                <w:rFonts w:ascii="Times New Roman" w:cs="Times New Roman" w:eastAsia="Times New Roman" w:hAnsi="Times New Roman"/>
                <w:b w:val="false"/>
                <w:bCs w:val="false"/>
                <w:color w:val="000000"/>
                <w:sz w:val="22"/>
                <w:szCs w:val="22"/>
              </w:rPr>
              <w:t xml:space="preserve">Docker</w:t>
            </w:r>
          </w:p>
        </w:tc>
        <w:tc>
          <w:tcPr>
            <w:tcW w:type="dxa" w:w="6000"/>
            <w:tcMar>
              <w:top w:type="dxa" w:w="100"/>
              <w:left w:type="dxa" w:w="120"/>
              <w:bottom w:type="dxa" w:w="100"/>
              <w:right w:type="dxa" w:w="120"/>
            </w:tcMar>
          </w:tcPr>
          <w:p>
            <w:r>
              <w:rPr>
                <w:rFonts w:ascii="Times New Roman" w:cs="Times New Roman" w:eastAsia="Times New Roman" w:hAnsi="Times New Roman"/>
                <w:b w:val="false"/>
                <w:bCs w:val="false"/>
                <w:color w:val="000000"/>
                <w:sz w:val="22"/>
                <w:szCs w:val="22"/>
              </w:rPr>
              <w:t xml:space="preserve">Provides containerized, reproducible deployment of the backend, Hyperledger nodes, and AI inference service.</w:t>
            </w:r>
          </w:p>
        </w:tc>
      </w:tr>
    </w:tbl>
    <w:p>
      <w:pPr>
        <w:spacing w:after="140" w:before="260"/>
      </w:pPr>
      <w:r>
        <w:rPr>
          <w:rFonts w:ascii="Times New Roman" w:cs="Times New Roman" w:eastAsia="Times New Roman" w:hAnsi="Times New Roman"/>
          <w:b/>
          <w:bCs/>
          <w:sz w:val="28"/>
          <w:szCs w:val="28"/>
        </w:rPr>
        <w:t xml:space="preserve">5. Potential Dataset Sources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Self-generated sensor telemetry captured from test devices (accelerometer, gyroscope, GPS) during controlled walking sessions and simulated spoofing scenarios.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Publicly available GNSS/GPS spoofing benchmark datasets used in prior detection literature, such as the Texas Spoofing Test Battery (TEXBAT), for evaluating the physical-plausibility verification model.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Public blockchain transaction data from testnet explorers (Polygon Amoy) for wallet-behaviour and reward-pattern analysis during the on-chain component of fraud scoring.</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Synthetic fraud-scenario datasets generated within the project's own testbed by injecting known spoofing, replay, and bot-driven activity patterns for controlled model evaluation.</w:t>
      </w:r>
    </w:p>
    <w:p>
      <w:pPr>
        <w:spacing w:after="140" w:before="260"/>
      </w:pPr>
      <w:r>
        <w:rPr>
          <w:rFonts w:ascii="Times New Roman" w:cs="Times New Roman" w:eastAsia="Times New Roman" w:hAnsi="Times New Roman"/>
          <w:b/>
          <w:bCs/>
          <w:sz w:val="28"/>
          <w:szCs w:val="28"/>
        </w:rPr>
        <w:t xml:space="preserve">6. Innovation and Originality</w:t>
      </w:r>
    </w:p>
    <w:p>
      <w:pPr>
        <w:spacing w:after="160" w:line="300"/>
        <w:jc w:val="both"/>
      </w:pPr>
      <w:r>
        <w:rPr>
          <w:rFonts w:ascii="Times New Roman" w:cs="Times New Roman" w:eastAsia="Times New Roman" w:hAnsi="Times New Roman"/>
          <w:sz w:val="24"/>
          <w:szCs w:val="24"/>
        </w:rPr>
        <w:t xml:space="preserve">The reviewed literature addresses P2E economic modelling, NFT-inflation control, on-chain fraud scoring, smartphone GPS-spoofing detection, and Hyperledger Fabric-based IoT auditing as separate concerns. This project's originality lies in integrating these strands into a single system: a dual-token economic model that directly targets the sustainability failures documented in prior P2E literature, combined with an AI verification layer that fuses on-chain wallet behaviour with off-chain phone-sensor plausibility checks — a combination not present in any single reviewed work.</w:t>
      </w:r>
    </w:p>
    <w:p>
      <w:pPr>
        <w:spacing w:after="200" w:line="300"/>
        <w:jc w:val="both"/>
      </w:pPr>
      <w:r>
        <w:rPr>
          <w:rFonts w:ascii="Times New Roman" w:cs="Times New Roman" w:eastAsia="Times New Roman" w:hAnsi="Times New Roman"/>
          <w:sz w:val="24"/>
          <w:szCs w:val="24"/>
        </w:rPr>
        <w:t xml:space="preserve">The system further extends existing work by implementing a fully transparent, on-chain treasury mechanism to demonstrate platform revenue, and by using account abstraction to remove the onboarding friction that limits mainstream adoption of comparable Web3 applications. Rather than claiming complete novelty, this project is best positioned as an integration and extension of established blockchain, AI/ML, and cybersecurity techniques into a previously unaddressed combination, directly targeting a gap identified in the current literature.</w:t>
      </w:r>
    </w:p>
    <w:sectPr>
      <w:headerReference w:type="default" r:id="rId7"/>
      <w:footerReference w:type="default" r:id="rId8"/>
      <w:pgSz w:w="11906" w:h="16838"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after="0"/>
      <w:jc w:val="center"/>
    </w:pPr>
    <w:r>
      <w:rPr>
        <w:rFonts w:ascii="Times New Roman" w:cs="Times New Roman" w:eastAsia="Times New Roman" w:hAnsi="Times New Roman"/>
        <w:i/>
        <w:iCs/>
        <w:color w:val="555555"/>
        <w:sz w:val="18"/>
        <w:szCs w:val="18"/>
      </w:rPr>
      <w:t xml:space="preserve">Department of Computer Science and Engineering (IoT &amp; Cyber Security Including Blockchain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2026-08-13T04:04:55.729Z</dcterms:created>
  <dcterms:modified xsi:type="dcterms:W3CDTF">2026-08-13T04:04:55.742Z</dcterms:modified>
</cp:coreProperties>
</file>

<file path=docProps/custom.xml><?xml version="1.0" encoding="utf-8"?>
<Properties xmlns="http://schemas.openxmlformats.org/officeDocument/2006/custom-properties" xmlns:vt="http://schemas.openxmlformats.org/officeDocument/2006/docPropsVTypes"/>
</file>