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drawing>
          <wp:inline distT="0" distB="0" distL="0" distR="0">
            <wp:extent cx="1524000" cy="172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524000" cy="1724025"/>
                    </a:xfrm>
                    <a:prstGeom prst="rect">
                      <a:avLst/>
                    </a:prstGeom>
                  </pic:spPr>
                </pic:pic>
              </a:graphicData>
            </a:graphic>
          </wp:inline>
        </w:drawing>
      </w:r>
    </w:p>
    <w:p>
      <w:pPr>
        <w:spacing w:after="60"/>
        <w:jc w:val="center"/>
      </w:pPr>
      <w:r>
        <w:rPr>
          <w:b/>
          <w:bCs/>
          <w:color w:val="1B3A5C"/>
          <w:sz w:val="48"/>
          <w:szCs w:val="48"/>
        </w:rPr>
        <w:t xml:space="preserve">MARLY 1.0</w:t>
      </w:r>
    </w:p>
    <w:p>
      <w:pPr>
        <w:spacing w:after="60"/>
        <w:jc w:val="center"/>
      </w:pPr>
      <w:r>
        <w:rPr>
          <w:i/>
          <w:iCs/>
          <w:color w:val="555555"/>
          <w:sz w:val="24"/>
          <w:szCs w:val="24"/>
        </w:rPr>
        <w:t xml:space="preserve">Model-Assisted Rescue for Lost-person recoverY</w:t>
      </w:r>
    </w:p>
    <w:p>
      <w:pPr>
        <w:spacing w:after="400"/>
        <w:jc w:val="center"/>
      </w:pPr>
      <w:r>
        <w:rPr>
          <w:color w:val="666666"/>
          <w:sz w:val="22"/>
          <w:szCs w:val="22"/>
        </w:rPr>
        <w:t xml:space="preserve">Executive Summary — Development Progress Report (Updated)</w:t>
      </w:r>
    </w:p>
    <w:p>
      <w:pPr>
        <w:pBdr>
          <w:bottom w:val="single" w:color="2E5D8A" w:sz="6" w:space="1"/>
        </w:pBdr>
        <w:spacing w:after="100"/>
        <w:jc w:val="center"/>
      </w:pPr>
      <w:r>
        <w:rPr>
          <w:color w:val="888888"/>
          <w:sz w:val="20"/>
          <w:szCs w:val="20"/>
        </w:rPr>
        <w:t xml:space="preserve">Date: May 20, 2026  |  Version: 1.0  |  Lines of Code: 1,773</w:t>
      </w:r>
    </w:p>
    <w:p>
      <w:pPr>
        <w:pStyle w:val="Heading1"/>
      </w:pPr>
      <w:r>
        <w:t xml:space="preserve">Project Overview</w:t>
      </w:r>
    </w:p>
    <w:p>
      <w:pPr>
        <w:spacing w:after="200"/>
      </w:pPr>
      <w:r>
        <w:t xml:space="preserve">MARLY 1.0 is a web-based Search and Rescue (SAR) planning tool built in Python using Flask. It automates the generation of search zones, probability rings, trail corridors, and operational markers based on lost person behavioral profiles from the Robert Koester / ISRID dataset. MARLY produces KML files that import directly into CalTopo with styled icons, color-coded rings, and search sectors ready for field deployment. The tool includes both a full search plan workflow and a separate hasty search module for rapid first-response planning.</w:t>
      </w:r>
    </w:p>
    <w:p>
      <w:pPr>
        <w:pStyle w:val="Heading1"/>
      </w:pPr>
      <w:r>
        <w:t xml:space="preserve">Completed Development</w:t>
      </w:r>
    </w:p>
    <w:p>
      <w:pPr>
        <w:pStyle w:val="Heading2"/>
      </w:pPr>
      <w:r>
        <w:t xml:space="preserve">Phase 1 — Data Input Form ✓</w:t>
      </w:r>
    </w:p>
    <w:p>
      <w:pPr>
        <w:pStyle w:val="ListParagraph"/>
        <w:numPr>
          <w:ilvl w:val="0"/>
          <w:numId w:val="2"/>
        </w:numPr>
        <w:spacing w:after="60"/>
      </w:pPr>
      <w:r>
        <w:t xml:space="preserve">Subject type classification (Dementia, Lost Hiker, Lost Child, Lost Hunter, Lost Vehicle, Mental Health Crisis)</w:t>
      </w:r>
    </w:p>
    <w:p>
      <w:pPr>
        <w:pStyle w:val="ListParagraph"/>
        <w:numPr>
          <w:ilvl w:val="0"/>
          <w:numId w:val="2"/>
        </w:numPr>
        <w:spacing w:after="60"/>
      </w:pPr>
      <w:r>
        <w:t xml:space="preserve">Last Known Position (latitude/longitude), time last seen, age, terrain type</w:t>
      </w:r>
    </w:p>
    <w:p>
      <w:pPr>
        <w:pStyle w:val="ListParagraph"/>
        <w:numPr>
          <w:ilvl w:val="0"/>
          <w:numId w:val="2"/>
        </w:numPr>
        <w:spacing w:after="60"/>
      </w:pPr>
      <w:r>
        <w:t xml:space="preserve">Notes field with automatic direction-of-travel parsing</w:t>
      </w:r>
    </w:p>
    <w:p>
      <w:pPr>
        <w:pStyle w:val="ListParagraph"/>
        <w:numPr>
          <w:ilvl w:val="0"/>
          <w:numId w:val="2"/>
        </w:numPr>
        <w:spacing w:after="200"/>
      </w:pPr>
      <w:r>
        <w:t xml:space="preserve">Data persistence via JSON file storage</w:t>
      </w:r>
    </w:p>
    <w:p>
      <w:pPr>
        <w:pStyle w:val="Heading2"/>
      </w:pPr>
      <w:r>
        <w:t xml:space="preserve">Phase 2 — Search Zone Calculation &amp; Export ✓</w:t>
      </w:r>
    </w:p>
    <w:p>
      <w:pPr>
        <w:pStyle w:val="ListParagraph"/>
        <w:numPr>
          <w:ilvl w:val="0"/>
          <w:numId w:val="2"/>
        </w:numPr>
        <w:spacing w:after="60"/>
      </w:pPr>
      <w:r>
        <w:t xml:space="preserve">4 probability rings (25%, 50%, 75%, 95%) with customizable distances</w:t>
      </w:r>
    </w:p>
    <w:p>
      <w:pPr>
        <w:pStyle w:val="ListParagraph"/>
        <w:numPr>
          <w:ilvl w:val="0"/>
          <w:numId w:val="2"/>
        </w:numPr>
        <w:spacing w:after="60"/>
      </w:pPr>
      <w:r>
        <w:t xml:space="preserve">8 compass-bearing search sectors with dual-priority system</w:t>
      </w:r>
    </w:p>
    <w:p>
      <w:pPr>
        <w:pStyle w:val="ListParagraph"/>
        <w:numPr>
          <w:ilvl w:val="0"/>
          <w:numId w:val="2"/>
        </w:numPr>
        <w:spacing w:after="60"/>
      </w:pPr>
      <w:r>
        <w:t xml:space="preserve">Directional weighting: 1.5x for dementia exit door, 1.3x for known travel direction</w:t>
      </w:r>
    </w:p>
    <w:p>
      <w:pPr>
        <w:pStyle w:val="ListParagraph"/>
        <w:numPr>
          <w:ilvl w:val="0"/>
          <w:numId w:val="2"/>
        </w:numPr>
        <w:spacing w:after="60"/>
      </w:pPr>
      <w:r>
        <w:t xml:space="preserve">KML export with CalTopo-native icon styling and color-coded rings</w:t>
      </w:r>
    </w:p>
    <w:p>
      <w:pPr>
        <w:pStyle w:val="ListParagraph"/>
        <w:numPr>
          <w:ilvl w:val="0"/>
          <w:numId w:val="2"/>
        </w:numPr>
        <w:spacing w:after="200"/>
      </w:pPr>
      <w:r>
        <w:t xml:space="preserve">Single combined KML file output (rings + sectors + markers)</w:t>
      </w:r>
    </w:p>
    <w:p>
      <w:pPr>
        <w:spacing w:after="80"/>
        <w:jc w:val="center"/>
      </w:pPr>
      <w:r>
        <w:drawing>
          <wp:inline distT="0" distB="0" distL="0" distR="0">
            <wp:extent cx="22860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286000" cy="3790950"/>
                    </a:xfrm>
                    <a:prstGeom prst="rect">
                      <a:avLst/>
                    </a:prstGeom>
                  </pic:spPr>
                </pic:pic>
              </a:graphicData>
            </a:graphic>
          </wp:inline>
        </w:drawing>
      </w:r>
    </w:p>
    <w:p>
      <w:pPr>
        <w:spacing w:after="200"/>
        <w:jc w:val="center"/>
      </w:pPr>
      <w:r>
        <w:rPr>
          <w:i/>
          <w:iCs/>
          <w:color w:val="555555"/>
          <w:sz w:val="20"/>
          <w:szCs w:val="20"/>
        </w:rPr>
        <w:t xml:space="preserve">Figure 1: MARLY input form with subject info and search plan generation.</w:t>
      </w:r>
    </w:p>
    <w:p>
      <w:pPr>
        <w:pStyle w:val="Heading2"/>
      </w:pPr>
      <w:r>
        <w:t xml:space="preserve">Phase 3 — Search Parameters &amp; Adaptive Sizing ✓</w:t>
      </w:r>
    </w:p>
    <w:p>
      <w:pPr>
        <w:pStyle w:val="ListParagraph"/>
        <w:numPr>
          <w:ilvl w:val="0"/>
          <w:numId w:val="2"/>
        </w:numPr>
        <w:spacing w:after="60"/>
      </w:pPr>
      <w:r>
        <w:t xml:space="preserve">3-step workflow: Subject Info → Search Parameters → Operational Markers</w:t>
      </w:r>
    </w:p>
    <w:p>
      <w:pPr>
        <w:pStyle w:val="ListParagraph"/>
        <w:numPr>
          <w:ilvl w:val="0"/>
          <w:numId w:val="2"/>
        </w:numPr>
        <w:spacing w:after="60"/>
      </w:pPr>
      <w:r>
        <w:t xml:space="preserve">Adaptive sector sizing with automatic subdivision when sectors exceed max area</w:t>
      </w:r>
    </w:p>
    <w:p>
      <w:pPr>
        <w:pStyle w:val="ListParagraph"/>
        <w:numPr>
          <w:ilvl w:val="0"/>
          <w:numId w:val="2"/>
        </w:numPr>
        <w:spacing w:after="60"/>
      </w:pPr>
      <w:r>
        <w:t xml:space="preserve">Sequential sector numbering: inner ring (Sector-01, 02...), outer ring (Sector-01A, 02A...)</w:t>
      </w:r>
    </w:p>
    <w:p>
      <w:pPr>
        <w:pStyle w:val="ListParagraph"/>
        <w:numPr>
          <w:ilvl w:val="0"/>
          <w:numId w:val="2"/>
        </w:numPr>
        <w:spacing w:after="60"/>
      </w:pPr>
      <w:r>
        <w:t xml:space="preserve">Grid squares as default sector shape (toggleable to pie sectors)</w:t>
      </w:r>
    </w:p>
    <w:p>
      <w:pPr>
        <w:pStyle w:val="ListParagraph"/>
        <w:numPr>
          <w:ilvl w:val="0"/>
          <w:numId w:val="2"/>
        </w:numPr>
        <w:spacing w:after="60"/>
      </w:pPr>
      <w:r>
        <w:t xml:space="preserve">Standard units default (miles, feet, acres) with metric toggle</w:t>
      </w:r>
    </w:p>
    <w:p>
      <w:pPr>
        <w:pStyle w:val="ListParagraph"/>
        <w:numPr>
          <w:ilvl w:val="0"/>
          <w:numId w:val="2"/>
        </w:numPr>
        <w:spacing w:after="200"/>
      </w:pPr>
      <w:r>
        <w:t xml:space="preserve">Team information: number of teams, capability (ground/mounted/K9/aerial/mixed), hours since last seen</w:t>
      </w:r>
    </w:p>
    <w:p>
      <w:pPr>
        <w:pStyle w:val="Heading2"/>
      </w:pPr>
      <w:r>
        <w:t xml:space="preserve">Phase 4 — Terrain Awareness &amp; Operational Features ✓</w:t>
      </w:r>
    </w:p>
    <w:p>
      <w:pPr>
        <w:pStyle w:val="ListParagraph"/>
        <w:numPr>
          <w:ilvl w:val="0"/>
          <w:numId w:val="2"/>
        </w:numPr>
        <w:spacing w:after="60"/>
      </w:pPr>
      <w:r>
        <w:t xml:space="preserve">Terrain-aware weighting via OpenStreetMap (trails weighted 2x, up to 1.5x sector boost)</w:t>
      </w:r>
    </w:p>
    <w:p>
      <w:pPr>
        <w:pStyle w:val="ListParagraph"/>
        <w:numPr>
          <w:ilvl w:val="0"/>
          <w:numId w:val="2"/>
        </w:numPr>
        <w:spacing w:after="60"/>
      </w:pPr>
      <w:r>
        <w:t xml:space="preserve">Trail/road data file upload (KML/GPX) as alternative to OpenStreetMap</w:t>
      </w:r>
    </w:p>
    <w:p>
      <w:pPr>
        <w:pStyle w:val="ListParagraph"/>
        <w:numPr>
          <w:ilvl w:val="0"/>
          <w:numId w:val="2"/>
        </w:numPr>
        <w:spacing w:after="60"/>
      </w:pPr>
      <w:r>
        <w:t xml:space="preserve">8 operational marker types with CalTopo-native icons: ICP, IPP, Staging, Road Block, Hazard, Wx-Weather, Medical, Terrain</w:t>
      </w:r>
    </w:p>
    <w:p>
      <w:pPr>
        <w:pStyle w:val="ListParagraph"/>
        <w:numPr>
          <w:ilvl w:val="0"/>
          <w:numId w:val="2"/>
        </w:numPr>
        <w:spacing w:after="60"/>
      </w:pPr>
      <w:r>
        <w:t xml:space="preserve">Auto-placement of markers at 9 o'clock outside 75% ring when no coordinates provided</w:t>
      </w:r>
    </w:p>
    <w:p>
      <w:pPr>
        <w:pStyle w:val="ListParagraph"/>
        <w:numPr>
          <w:ilvl w:val="0"/>
          <w:numId w:val="2"/>
        </w:numPr>
        <w:spacing w:after="60"/>
      </w:pPr>
      <w:r>
        <w:t xml:space="preserve">Weighted sectors display: normal weight = transparent, boosted weight = red shading</w:t>
      </w:r>
    </w:p>
    <w:p>
      <w:pPr>
        <w:pStyle w:val="ListParagraph"/>
        <w:numPr>
          <w:ilvl w:val="0"/>
          <w:numId w:val="2"/>
        </w:numPr>
        <w:spacing w:after="60"/>
      </w:pPr>
      <w:r>
        <w:rPr>
          <w:b/>
          <w:bCs/>
        </w:rPr>
        <w:t xml:space="preserve">Hasty Search Module (separate page):</w:t>
      </w:r>
    </w:p>
    <w:p>
      <w:pPr>
        <w:pStyle w:val="ListParagraph"/>
        <w:numPr>
          <w:ilvl w:val="0"/>
          <w:numId w:val="3"/>
        </w:numPr>
        <w:spacing w:after="60"/>
      </w:pPr>
      <w:r>
        <w:t xml:space="preserve">Trail corridor generation with configurable offset (default 100 ft / 30m per side)</w:t>
      </w:r>
    </w:p>
    <w:p>
      <w:pPr>
        <w:pStyle w:val="ListParagraph"/>
        <w:numPr>
          <w:ilvl w:val="0"/>
          <w:numId w:val="3"/>
        </w:numPr>
        <w:spacing w:after="60"/>
      </w:pPr>
      <w:r>
        <w:t xml:space="preserve">Connected segment merging (reduces fragmented road/trail data into continuous corridors)</w:t>
      </w:r>
    </w:p>
    <w:p>
      <w:pPr>
        <w:pStyle w:val="ListParagraph"/>
        <w:numPr>
          <w:ilvl w:val="0"/>
          <w:numId w:val="3"/>
        </w:numPr>
        <w:spacing w:after="60"/>
      </w:pPr>
      <w:r>
        <w:t xml:space="preserve">Dead-end filtering (segments under 50m removed)</w:t>
      </w:r>
    </w:p>
    <w:p>
      <w:pPr>
        <w:pStyle w:val="ListParagraph"/>
        <w:numPr>
          <w:ilvl w:val="0"/>
          <w:numId w:val="3"/>
        </w:numPr>
        <w:spacing w:after="60"/>
      </w:pPr>
      <w:r>
        <w:t xml:space="preserve">Gap sectors (30-acre grid squares) fill areas between trail corridors</w:t>
      </w:r>
    </w:p>
    <w:p>
      <w:pPr>
        <w:pStyle w:val="ListParagraph"/>
        <w:numPr>
          <w:ilvl w:val="0"/>
          <w:numId w:val="3"/>
        </w:numPr>
        <w:spacing w:after="200"/>
      </w:pPr>
      <w:r>
        <w:t xml:space="preserve">Operational markers available on hasty page with same CalTopo icon support</w:t>
      </w:r>
    </w:p>
    <w:p>
      <w:pPr>
        <w:spacing w:after="80"/>
        <w:jc w:val="center"/>
      </w:pPr>
      <w:r>
        <w:drawing>
          <wp:inline distT="0" distB="0" distL="0" distR="0">
            <wp:extent cx="41910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3133725"/>
                    </a:xfrm>
                    <a:prstGeom prst="rect">
                      <a:avLst/>
                    </a:prstGeom>
                  </pic:spPr>
                </pic:pic>
              </a:graphicData>
            </a:graphic>
          </wp:inline>
        </w:drawing>
      </w:r>
    </w:p>
    <w:p>
      <w:pPr>
        <w:spacing w:after="300"/>
        <w:jc w:val="center"/>
      </w:pPr>
      <w:r>
        <w:rPr>
          <w:i/>
          <w:iCs/>
          <w:color w:val="555555"/>
          <w:sz w:val="20"/>
          <w:szCs w:val="20"/>
        </w:rPr>
        <w:t xml:space="preserve">Figure 2: MARLY-generated search plan displayed in CalTopo with rings, sectors, and operational markers.</w:t>
      </w:r>
    </w:p>
    <w:p>
      <w:pPr>
        <w:pStyle w:val="Heading1"/>
      </w:pPr>
      <w:r>
        <w:t xml:space="preserve">Phase 5 — Terrain-Shaped Sectors (In Progress)</w:t>
      </w:r>
    </w:p>
    <w:p>
      <w:pPr>
        <w:spacing w:after="100"/>
      </w:pPr>
      <w:r>
        <w:t xml:space="preserve">Phase 5 introduces elevation-aware sector design using USGS 3DEP data. Rather than rigid grid squares, sectors will conform to natural terrain features (ridgelines, drainages, contour lines) for more practical field deployment.</w:t>
      </w:r>
    </w:p>
    <w:p>
      <w:pPr>
        <w:pStyle w:val="Heading2"/>
      </w:pPr>
      <w:r>
        <w:t xml:space="preserve">Step 1 — Elevation Data &amp; Feature Detection ✓</w:t>
      </w:r>
    </w:p>
    <w:p>
      <w:pPr>
        <w:pStyle w:val="ListParagraph"/>
        <w:numPr>
          <w:ilvl w:val="0"/>
          <w:numId w:val="2"/>
        </w:numPr>
        <w:spacing w:after="60"/>
      </w:pPr>
      <w:r>
        <w:t xml:space="preserve">USGS 3DEP elevation data querying (80m grid, 15 parallel threads)</w:t>
      </w:r>
    </w:p>
    <w:p>
      <w:pPr>
        <w:pStyle w:val="ListParagraph"/>
        <w:numPr>
          <w:ilvl w:val="0"/>
          <w:numId w:val="2"/>
        </w:numPr>
        <w:spacing w:after="60"/>
      </w:pPr>
      <w:r>
        <w:t xml:space="preserve">Ridgeline detection via Laplacian analysis of elevation grid</w:t>
      </w:r>
    </w:p>
    <w:p>
      <w:pPr>
        <w:pStyle w:val="ListParagraph"/>
        <w:numPr>
          <w:ilvl w:val="0"/>
          <w:numId w:val="2"/>
        </w:numPr>
        <w:spacing w:after="60"/>
      </w:pPr>
      <w:r>
        <w:t xml:space="preserve">Drainage detection (concave terrain features)</w:t>
      </w:r>
    </w:p>
    <w:p>
      <w:pPr>
        <w:pStyle w:val="ListParagraph"/>
        <w:numPr>
          <w:ilvl w:val="0"/>
          <w:numId w:val="2"/>
        </w:numPr>
        <w:spacing w:after="60"/>
      </w:pPr>
      <w:r>
        <w:t xml:space="preserve">Polyline smoothing for natural-looking terrain feature lines</w:t>
      </w:r>
    </w:p>
    <w:p>
      <w:pPr>
        <w:pStyle w:val="ListParagraph"/>
        <w:numPr>
          <w:ilvl w:val="0"/>
          <w:numId w:val="2"/>
        </w:numPr>
        <w:spacing w:after="200"/>
      </w:pPr>
      <w:r>
        <w:t xml:space="preserve">KML export with ridgeline and drainage overlays (separate folders in CalTopo)</w:t>
      </w:r>
    </w:p>
    <w:p>
      <w:pPr>
        <w:pStyle w:val="Heading2"/>
      </w:pPr>
      <w:r>
        <w:t xml:space="preserve">Step 2 — Terrain Feature Sector Boundaries (Pending)</w:t>
      </w:r>
    </w:p>
    <w:p>
      <w:pPr>
        <w:pStyle w:val="ListParagraph"/>
        <w:numPr>
          <w:ilvl w:val="0"/>
          <w:numId w:val="4"/>
        </w:numPr>
        <w:spacing w:after="60"/>
      </w:pPr>
      <w:r>
        <w:t xml:space="preserve">Use detected ridgelines and drainages as sector boundaries instead of straight grid lines</w:t>
      </w:r>
    </w:p>
    <w:p>
      <w:pPr>
        <w:pStyle w:val="ListParagraph"/>
        <w:numPr>
          <w:ilvl w:val="0"/>
          <w:numId w:val="4"/>
        </w:numPr>
        <w:spacing w:after="60"/>
      </w:pPr>
      <w:r>
        <w:t xml:space="preserve">Snap sector edges to nearest terrain feature (ridge spine, creek, trail)</w:t>
      </w:r>
    </w:p>
    <w:p>
      <w:pPr>
        <w:pStyle w:val="ListParagraph"/>
        <w:numPr>
          <w:ilvl w:val="0"/>
          <w:numId w:val="4"/>
        </w:numPr>
        <w:spacing w:after="200"/>
      </w:pPr>
      <w:r>
        <w:t xml:space="preserve">Maintain 30-50 acre sector size constraint with irregular polygon shapes</w:t>
      </w:r>
    </w:p>
    <w:p>
      <w:pPr>
        <w:pStyle w:val="Heading2"/>
      </w:pPr>
      <w:r>
        <w:t xml:space="preserve">Step 3 — Contour-Based Sector Design (Pending)</w:t>
      </w:r>
    </w:p>
    <w:p>
      <w:pPr>
        <w:pStyle w:val="ListParagraph"/>
        <w:numPr>
          <w:ilvl w:val="0"/>
          <w:numId w:val="4"/>
        </w:numPr>
        <w:spacing w:after="60"/>
      </w:pPr>
      <w:r>
        <w:t xml:space="preserve">"Ribbon" or "Finger" sectors oriented along ridge spines and drainage fall lines</w:t>
      </w:r>
    </w:p>
    <w:p>
      <w:pPr>
        <w:pStyle w:val="ListParagraph"/>
        <w:numPr>
          <w:ilvl w:val="0"/>
          <w:numId w:val="4"/>
        </w:numPr>
        <w:spacing w:after="60"/>
      </w:pPr>
      <w:r>
        <w:t xml:space="preserve">Elevation band sectors (e.g., 8,800 ft to 9,100 ft contour interval)</w:t>
      </w:r>
    </w:p>
    <w:p>
      <w:pPr>
        <w:pStyle w:val="ListParagraph"/>
        <w:numPr>
          <w:ilvl w:val="0"/>
          <w:numId w:val="4"/>
        </w:numPr>
        <w:spacing w:after="200"/>
      </w:pPr>
      <w:r>
        <w:t xml:space="preserve">Automatic acreage calculation for irregular terrain-based polygons</w:t>
      </w:r>
    </w:p>
    <w:p>
      <w:pPr>
        <w:pStyle w:val="Heading1"/>
      </w:pPr>
      <w:r>
        <w:t xml:space="preserve">Future Development Roadmap</w:t>
      </w:r>
    </w:p>
    <w:p>
      <w:pPr>
        <w:pStyle w:val="Heading2"/>
      </w:pPr>
      <w:r>
        <w:t xml:space="preserve">Category-Specific Sector Templates (Planned)</w:t>
      </w:r>
    </w:p>
    <w:p>
      <w:pPr>
        <w:pStyle w:val="ListParagraph"/>
        <w:numPr>
          <w:ilvl w:val="0"/>
          <w:numId w:val="4"/>
        </w:numPr>
        <w:spacing w:after="60"/>
      </w:pPr>
      <w:r>
        <w:t xml:space="preserve">Unique templates per lost person category (e.g., 60-degree cone for dementia exit door direction)</w:t>
      </w:r>
    </w:p>
    <w:p>
      <w:pPr>
        <w:pStyle w:val="ListParagraph"/>
        <w:numPr>
          <w:ilvl w:val="0"/>
          <w:numId w:val="4"/>
        </w:numPr>
        <w:spacing w:after="60"/>
      </w:pPr>
      <w:r>
        <w:t xml:space="preserve">Partial ring coverage (only inner rings get sectors for most categories)</w:t>
      </w:r>
    </w:p>
    <w:p>
      <w:pPr>
        <w:pStyle w:val="ListParagraph"/>
        <w:numPr>
          <w:ilvl w:val="0"/>
          <w:numId w:val="4"/>
        </w:numPr>
        <w:spacing w:after="200"/>
      </w:pPr>
      <w:r>
        <w:t xml:space="preserve">Hasty search template with focused high-probability sectors only</w:t>
      </w:r>
    </w:p>
    <w:p>
      <w:pPr>
        <w:pStyle w:val="Heading2"/>
      </w:pPr>
      <w:r>
        <w:t xml:space="preserve">Custom Behavioral Profiles (Planned)</w:t>
      </w:r>
    </w:p>
    <w:p>
      <w:pPr>
        <w:pStyle w:val="ListParagraph"/>
        <w:numPr>
          <w:ilvl w:val="0"/>
          <w:numId w:val="4"/>
        </w:numPr>
        <w:spacing w:after="200"/>
      </w:pPr>
      <w:r>
        <w:t xml:space="preserve">Upload spreadsheet with custom probability distances to replace or supplement Koester defaults</w:t>
      </w:r>
    </w:p>
    <w:p>
      <w:pPr>
        <w:pStyle w:val="Heading2"/>
      </w:pPr>
      <w:r>
        <w:t xml:space="preserve">CalTopo Direct Integration (On Hold)</w:t>
      </w:r>
    </w:p>
    <w:p>
      <w:pPr>
        <w:pStyle w:val="ListParagraph"/>
        <w:numPr>
          <w:ilvl w:val="0"/>
          <w:numId w:val="4"/>
        </w:numPr>
        <w:spacing w:after="60"/>
      </w:pPr>
      <w:r>
        <w:t xml:space="preserve">Use caltopo_python library to push sectors directly to CalTopo maps</w:t>
      </w:r>
    </w:p>
    <w:p>
      <w:pPr>
        <w:pStyle w:val="ListParagraph"/>
        <w:numPr>
          <w:ilvl w:val="0"/>
          <w:numId w:val="4"/>
        </w:numPr>
        <w:spacing w:after="200"/>
      </w:pPr>
      <w:r>
        <w:t xml:space="preserve">Eliminate download/import step entirely</w:t>
      </w:r>
    </w:p>
    <w:p>
      <w:pPr>
        <w:pStyle w:val="Heading2"/>
      </w:pPr>
      <w:r>
        <w:t xml:space="preserve">UTM/USNG Grid Alignment (On Hold)</w:t>
      </w:r>
    </w:p>
    <w:p>
      <w:pPr>
        <w:pStyle w:val="ListParagraph"/>
        <w:numPr>
          <w:ilvl w:val="0"/>
          <w:numId w:val="4"/>
        </w:numPr>
        <w:spacing w:after="60"/>
      </w:pPr>
      <w:r>
        <w:t xml:space="preserve">Snap grid sectors to standard UTM/USNG grid lines</w:t>
      </w:r>
    </w:p>
    <w:p>
      <w:pPr>
        <w:pStyle w:val="ListParagraph"/>
        <w:numPr>
          <w:ilvl w:val="0"/>
          <w:numId w:val="4"/>
        </w:numPr>
        <w:spacing w:after="200"/>
      </w:pPr>
      <w:r>
        <w:t xml:space="preserve">Sector boundaries match topo maps and GPS devices</w:t>
      </w:r>
    </w:p>
    <w:p>
      <w:pPr>
        <w:pStyle w:val="Heading1"/>
      </w:pPr>
      <w:r>
        <w:t xml:space="preserve">Built-in Subject Behavioral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1500"/>
        <w:gridCol w:w="1500"/>
        <w:gridCol w:w="1560"/>
      </w:tblGrid>
      <w:tr>
        <w:tc>
          <w:tcPr>
            <w:tcW w:type="dxa" w:w="1560"/>
            <w:tcBorders>
              <w:top w:val="single" w:color="CCCCCC" w:sz="1"/>
              <w:left w:val="single" w:color="CCCCCC" w:sz="1"/>
              <w:bottom w:val="single" w:color="CCCCCC" w:sz="1"/>
              <w:right w:val="single" w:color="CCCCCC" w:sz="1"/>
            </w:tcBorders>
            <w:shd w:fill="1B3A5C" w:val="clear"/>
            <w:tcMar>
              <w:top w:type="dxa" w:w="60"/>
              <w:left w:type="dxa" w:w="80"/>
              <w:bottom w:type="dxa" w:w="60"/>
              <w:right w:type="dxa" w:w="80"/>
            </w:tcMar>
          </w:tcPr>
          <w:p>
            <w:r>
              <w:rPr>
                <w:b/>
                <w:bCs/>
                <w:color w:val="FFFFFF"/>
                <w:sz w:val="18"/>
                <w:szCs w:val="18"/>
              </w:rPr>
              <w:t xml:space="preserve">Subject Type</w:t>
            </w:r>
          </w:p>
        </w:tc>
        <w:tc>
          <w:tcPr>
            <w:tcW w:type="dxa" w:w="1560"/>
            <w:tcBorders>
              <w:top w:val="single" w:color="CCCCCC" w:sz="1"/>
              <w:left w:val="single" w:color="CCCCCC" w:sz="1"/>
              <w:bottom w:val="single" w:color="CCCCCC" w:sz="1"/>
              <w:right w:val="single" w:color="CCCCCC" w:sz="1"/>
            </w:tcBorders>
            <w:shd w:fill="1B3A5C" w:val="clear"/>
            <w:tcMar>
              <w:top w:type="dxa" w:w="60"/>
              <w:left w:type="dxa" w:w="80"/>
              <w:bottom w:type="dxa" w:w="60"/>
              <w:right w:type="dxa" w:w="80"/>
            </w:tcMar>
          </w:tcPr>
          <w:p>
            <w:r>
              <w:rPr>
                <w:b/>
                <w:bCs/>
                <w:color w:val="FFFFFF"/>
                <w:sz w:val="18"/>
                <w:szCs w:val="18"/>
              </w:rPr>
              <w:t xml:space="preserve">25%</w:t>
            </w:r>
          </w:p>
        </w:tc>
        <w:tc>
          <w:tcPr>
            <w:tcW w:type="dxa" w:w="1560"/>
            <w:tcBorders>
              <w:top w:val="single" w:color="CCCCCC" w:sz="1"/>
              <w:left w:val="single" w:color="CCCCCC" w:sz="1"/>
              <w:bottom w:val="single" w:color="CCCCCC" w:sz="1"/>
              <w:right w:val="single" w:color="CCCCCC" w:sz="1"/>
            </w:tcBorders>
            <w:shd w:fill="1B3A5C" w:val="clear"/>
            <w:tcMar>
              <w:top w:type="dxa" w:w="60"/>
              <w:left w:type="dxa" w:w="80"/>
              <w:bottom w:type="dxa" w:w="60"/>
              <w:right w:type="dxa" w:w="80"/>
            </w:tcMar>
          </w:tcPr>
          <w:p>
            <w:r>
              <w:rPr>
                <w:b/>
                <w:bCs/>
                <w:color w:val="FFFFFF"/>
                <w:sz w:val="18"/>
                <w:szCs w:val="18"/>
              </w:rPr>
              <w:t xml:space="preserve">50%</w:t>
            </w:r>
          </w:p>
        </w:tc>
        <w:tc>
          <w:tcPr>
            <w:tcW w:type="dxa" w:w="1560"/>
            <w:tcBorders>
              <w:top w:val="single" w:color="CCCCCC" w:sz="1"/>
              <w:left w:val="single" w:color="CCCCCC" w:sz="1"/>
              <w:bottom w:val="single" w:color="CCCCCC" w:sz="1"/>
              <w:right w:val="single" w:color="CCCCCC" w:sz="1"/>
            </w:tcBorders>
            <w:shd w:fill="1B3A5C" w:val="clear"/>
            <w:tcMar>
              <w:top w:type="dxa" w:w="60"/>
              <w:left w:type="dxa" w:w="80"/>
              <w:bottom w:type="dxa" w:w="60"/>
              <w:right w:type="dxa" w:w="80"/>
            </w:tcMar>
          </w:tcPr>
          <w:p>
            <w:r>
              <w:rPr>
                <w:b/>
                <w:bCs/>
                <w:color w:val="FFFFFF"/>
                <w:sz w:val="18"/>
                <w:szCs w:val="18"/>
              </w:rPr>
              <w:t xml:space="preserve">75%</w:t>
            </w:r>
          </w:p>
        </w:tc>
        <w:tc>
          <w:tcPr>
            <w:tcW w:type="dxa" w:w="1560"/>
            <w:tcBorders>
              <w:top w:val="single" w:color="CCCCCC" w:sz="1"/>
              <w:left w:val="single" w:color="CCCCCC" w:sz="1"/>
              <w:bottom w:val="single" w:color="CCCCCC" w:sz="1"/>
              <w:right w:val="single" w:color="CCCCCC" w:sz="1"/>
            </w:tcBorders>
            <w:shd w:fill="1B3A5C" w:val="clear"/>
            <w:tcMar>
              <w:top w:type="dxa" w:w="60"/>
              <w:left w:type="dxa" w:w="80"/>
              <w:bottom w:type="dxa" w:w="60"/>
              <w:right w:type="dxa" w:w="80"/>
            </w:tcMar>
          </w:tcPr>
          <w:p>
            <w:r>
              <w:rPr>
                <w:b/>
                <w:bCs/>
                <w:color w:val="FFFFFF"/>
                <w:sz w:val="18"/>
                <w:szCs w:val="18"/>
              </w:rPr>
              <w:t xml:space="preserve">95%</w:t>
            </w:r>
          </w:p>
        </w:tc>
        <w:tc>
          <w:tcPr>
            <w:tcW w:type="dxa" w:w="1560"/>
            <w:tcBorders>
              <w:top w:val="single" w:color="CCCCCC" w:sz="1"/>
              <w:left w:val="single" w:color="CCCCCC" w:sz="1"/>
              <w:bottom w:val="single" w:color="CCCCCC" w:sz="1"/>
              <w:right w:val="single" w:color="CCCCCC" w:sz="1"/>
            </w:tcBorders>
            <w:shd w:fill="1B3A5C" w:val="clear"/>
            <w:tcMar>
              <w:top w:type="dxa" w:w="60"/>
              <w:left w:type="dxa" w:w="80"/>
              <w:bottom w:type="dxa" w:w="60"/>
              <w:right w:type="dxa" w:w="80"/>
            </w:tcMar>
          </w:tcPr>
          <w:p>
            <w:r>
              <w:rPr>
                <w:b/>
                <w:bCs/>
                <w:color w:val="FFFFFF"/>
                <w:sz w:val="18"/>
                <w:szCs w:val="18"/>
              </w:rPr>
              <w:t xml:space="preserve">Units</w:t>
            </w:r>
          </w:p>
        </w:tc>
      </w:tr>
      <w:tr>
        <w:tc>
          <w:tcPr>
            <w:tcW w:type="dxa" w:w="1560"/>
            <w:tcBorders>
              <w:top w:val="single" w:color="CCCCCC" w:sz="1"/>
              <w:left w:val="single" w:color="CCCCCC" w:sz="1"/>
              <w:bottom w:val="single" w:color="CCCCCC" w:sz="1"/>
              <w:right w:val="single" w:color="CCCCCC" w:sz="1"/>
            </w:tcBorders>
            <w:shd w:fill="F2F7FB" w:val="clear"/>
            <w:tcMar>
              <w:top w:type="dxa" w:w="60"/>
              <w:left w:type="dxa" w:w="80"/>
              <w:bottom w:type="dxa" w:w="60"/>
              <w:right w:type="dxa" w:w="80"/>
            </w:tcMar>
          </w:tcPr>
          <w:p>
            <w:r>
              <w:rPr>
                <w:sz w:val="18"/>
                <w:szCs w:val="18"/>
              </w:rPr>
              <w:t xml:space="preserve">Dementia</w:t>
            </w:r>
          </w:p>
        </w:tc>
        <w:tc>
          <w:tcPr>
            <w:tcW w:type="dxa" w:w="1560"/>
            <w:tcBorders>
              <w:top w:val="single" w:color="CCCCCC" w:sz="1"/>
              <w:left w:val="single" w:color="CCCCCC" w:sz="1"/>
              <w:bottom w:val="single" w:color="CCCCCC" w:sz="1"/>
              <w:right w:val="single" w:color="CCCCCC" w:sz="1"/>
            </w:tcBorders>
            <w:shd w:fill="F2F7FB" w:val="clear"/>
            <w:tcMar>
              <w:top w:type="dxa" w:w="60"/>
              <w:left w:type="dxa" w:w="80"/>
              <w:bottom w:type="dxa" w:w="60"/>
              <w:right w:type="dxa" w:w="80"/>
            </w:tcMar>
          </w:tcPr>
          <w:p>
            <w:r>
              <w:rPr>
                <w:sz w:val="18"/>
                <w:szCs w:val="18"/>
              </w:rPr>
              <w:t xml:space="preserve">0.6</w:t>
            </w:r>
          </w:p>
        </w:tc>
        <w:tc>
          <w:tcPr>
            <w:tcW w:type="dxa" w:w="1560"/>
            <w:tcBorders>
              <w:top w:val="single" w:color="CCCCCC" w:sz="1"/>
              <w:left w:val="single" w:color="CCCCCC" w:sz="1"/>
              <w:bottom w:val="single" w:color="CCCCCC" w:sz="1"/>
              <w:right w:val="single" w:color="CCCCCC" w:sz="1"/>
            </w:tcBorders>
            <w:shd w:fill="F2F7FB" w:val="clear"/>
            <w:tcMar>
              <w:top w:type="dxa" w:w="60"/>
              <w:left w:type="dxa" w:w="80"/>
              <w:bottom w:type="dxa" w:w="60"/>
              <w:right w:type="dxa" w:w="80"/>
            </w:tcMar>
          </w:tcPr>
          <w:p>
            <w:r>
              <w:rPr>
                <w:sz w:val="18"/>
                <w:szCs w:val="18"/>
              </w:rPr>
              <w:t xml:space="preserve">1.2</w:t>
            </w:r>
          </w:p>
        </w:tc>
        <w:tc>
          <w:tcPr>
            <w:tcW w:type="dxa" w:w="1560"/>
            <w:tcBorders>
              <w:top w:val="single" w:color="CCCCCC" w:sz="1"/>
              <w:left w:val="single" w:color="CCCCCC" w:sz="1"/>
              <w:bottom w:val="single" w:color="CCCCCC" w:sz="1"/>
              <w:right w:val="single" w:color="CCCCCC" w:sz="1"/>
            </w:tcBorders>
            <w:shd w:fill="F2F7FB" w:val="clear"/>
            <w:tcMar>
              <w:top w:type="dxa" w:w="60"/>
              <w:left w:type="dxa" w:w="80"/>
              <w:bottom w:type="dxa" w:w="60"/>
              <w:right w:type="dxa" w:w="80"/>
            </w:tcMar>
          </w:tcPr>
          <w:p>
            <w:r>
              <w:rPr>
                <w:sz w:val="18"/>
                <w:szCs w:val="18"/>
              </w:rPr>
              <w:t xml:space="preserve">2.4</w:t>
            </w:r>
          </w:p>
        </w:tc>
        <w:tc>
          <w:tcPr>
            <w:tcW w:type="dxa" w:w="1560"/>
            <w:tcBorders>
              <w:top w:val="single" w:color="CCCCCC" w:sz="1"/>
              <w:left w:val="single" w:color="CCCCCC" w:sz="1"/>
              <w:bottom w:val="single" w:color="CCCCCC" w:sz="1"/>
              <w:right w:val="single" w:color="CCCCCC" w:sz="1"/>
            </w:tcBorders>
            <w:shd w:fill="F2F7FB" w:val="clear"/>
            <w:tcMar>
              <w:top w:type="dxa" w:w="60"/>
              <w:left w:type="dxa" w:w="80"/>
              <w:bottom w:type="dxa" w:w="60"/>
              <w:right w:type="dxa" w:w="80"/>
            </w:tcMar>
          </w:tcPr>
          <w:p>
            <w:r>
              <w:rPr>
                <w:sz w:val="18"/>
                <w:szCs w:val="18"/>
              </w:rPr>
              <w:t xml:space="preserve">8.0</w:t>
            </w:r>
          </w:p>
        </w:tc>
        <w:tc>
          <w:tcPr>
            <w:tcW w:type="dxa" w:w="1560"/>
            <w:tcBorders>
              <w:top w:val="single" w:color="CCCCCC" w:sz="1"/>
              <w:left w:val="single" w:color="CCCCCC" w:sz="1"/>
              <w:bottom w:val="single" w:color="CCCCCC" w:sz="1"/>
              <w:right w:val="single" w:color="CCCCCC" w:sz="1"/>
            </w:tcBorders>
            <w:shd w:fill="F2F7FB" w:val="clear"/>
            <w:tcMar>
              <w:top w:type="dxa" w:w="60"/>
              <w:left w:type="dxa" w:w="80"/>
              <w:bottom w:type="dxa" w:w="60"/>
              <w:right w:type="dxa" w:w="80"/>
            </w:tcMar>
          </w:tcPr>
          <w:p>
            <w:r>
              <w:rPr>
                <w:sz w:val="18"/>
                <w:szCs w:val="18"/>
              </w:rPr>
              <w:t xml:space="preserve">km</w:t>
            </w:r>
          </w:p>
        </w:tc>
      </w:tr>
      <w:tr>
        <w:tc>
          <w:tcPr>
            <w:tcW w:type="dxa" w:w="15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8"/>
                <w:szCs w:val="18"/>
              </w:rPr>
              <w:t xml:space="preserve">Lost Child</w:t>
            </w:r>
          </w:p>
        </w:tc>
        <w:tc>
          <w:tcPr>
            <w:tcW w:type="dxa" w:w="15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8"/>
                <w:szCs w:val="18"/>
              </w:rPr>
              <w:t xml:space="preserve">0.4</w:t>
            </w:r>
          </w:p>
        </w:tc>
        <w:tc>
          <w:tcPr>
            <w:tcW w:type="dxa" w:w="15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8"/>
                <w:szCs w:val="18"/>
              </w:rPr>
              <w:t xml:space="preserve">0.8</w:t>
            </w:r>
          </w:p>
        </w:tc>
        <w:tc>
          <w:tcPr>
            <w:tcW w:type="dxa" w:w="15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8"/>
                <w:szCs w:val="18"/>
              </w:rPr>
              <w:t xml:space="preserve">1.6</w:t>
            </w:r>
          </w:p>
        </w:tc>
        <w:tc>
          <w:tcPr>
            <w:tcW w:type="dxa" w:w="15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8"/>
                <w:szCs w:val="18"/>
              </w:rPr>
              <w:t xml:space="preserve">4.5</w:t>
            </w:r>
          </w:p>
        </w:tc>
        <w:tc>
          <w:tcPr>
            <w:tcW w:type="dxa" w:w="15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8"/>
                <w:szCs w:val="18"/>
              </w:rPr>
              <w:t xml:space="preserve">km</w:t>
            </w:r>
          </w:p>
        </w:tc>
      </w:tr>
      <w:tr>
        <w:tc>
          <w:tcPr>
            <w:tcW w:type="dxa" w:w="1560"/>
            <w:tcBorders>
              <w:top w:val="single" w:color="CCCCCC" w:sz="1"/>
              <w:left w:val="single" w:color="CCCCCC" w:sz="1"/>
              <w:bottom w:val="single" w:color="CCCCCC" w:sz="1"/>
              <w:right w:val="single" w:color="CCCCCC" w:sz="1"/>
            </w:tcBorders>
            <w:shd w:fill="F2F7FB" w:val="clear"/>
            <w:tcMar>
              <w:top w:type="dxa" w:w="60"/>
              <w:left w:type="dxa" w:w="80"/>
              <w:bottom w:type="dxa" w:w="60"/>
              <w:right w:type="dxa" w:w="80"/>
            </w:tcMar>
          </w:tcPr>
          <w:p>
            <w:r>
              <w:rPr>
                <w:sz w:val="18"/>
                <w:szCs w:val="18"/>
              </w:rPr>
              <w:t xml:space="preserve">Lost Hiker</w:t>
            </w:r>
          </w:p>
        </w:tc>
        <w:tc>
          <w:tcPr>
            <w:tcW w:type="dxa" w:w="1560"/>
            <w:tcBorders>
              <w:top w:val="single" w:color="CCCCCC" w:sz="1"/>
              <w:left w:val="single" w:color="CCCCCC" w:sz="1"/>
              <w:bottom w:val="single" w:color="CCCCCC" w:sz="1"/>
              <w:right w:val="single" w:color="CCCCCC" w:sz="1"/>
            </w:tcBorders>
            <w:shd w:fill="F2F7FB" w:val="clear"/>
            <w:tcMar>
              <w:top w:type="dxa" w:w="60"/>
              <w:left w:type="dxa" w:w="80"/>
              <w:bottom w:type="dxa" w:w="60"/>
              <w:right w:type="dxa" w:w="80"/>
            </w:tcMar>
          </w:tcPr>
          <w:p>
            <w:r>
              <w:rPr>
                <w:sz w:val="18"/>
                <w:szCs w:val="18"/>
              </w:rPr>
              <w:t xml:space="preserve">1.5</w:t>
            </w:r>
          </w:p>
        </w:tc>
        <w:tc>
          <w:tcPr>
            <w:tcW w:type="dxa" w:w="1560"/>
            <w:tcBorders>
              <w:top w:val="single" w:color="CCCCCC" w:sz="1"/>
              <w:left w:val="single" w:color="CCCCCC" w:sz="1"/>
              <w:bottom w:val="single" w:color="CCCCCC" w:sz="1"/>
              <w:right w:val="single" w:color="CCCCCC" w:sz="1"/>
            </w:tcBorders>
            <w:shd w:fill="F2F7FB" w:val="clear"/>
            <w:tcMar>
              <w:top w:type="dxa" w:w="60"/>
              <w:left w:type="dxa" w:w="80"/>
              <w:bottom w:type="dxa" w:w="60"/>
              <w:right w:type="dxa" w:w="80"/>
            </w:tcMar>
          </w:tcPr>
          <w:p>
            <w:r>
              <w:rPr>
                <w:sz w:val="18"/>
                <w:szCs w:val="18"/>
              </w:rPr>
              <w:t xml:space="preserve">3.0</w:t>
            </w:r>
          </w:p>
        </w:tc>
        <w:tc>
          <w:tcPr>
            <w:tcW w:type="dxa" w:w="1560"/>
            <w:tcBorders>
              <w:top w:val="single" w:color="CCCCCC" w:sz="1"/>
              <w:left w:val="single" w:color="CCCCCC" w:sz="1"/>
              <w:bottom w:val="single" w:color="CCCCCC" w:sz="1"/>
              <w:right w:val="single" w:color="CCCCCC" w:sz="1"/>
            </w:tcBorders>
            <w:shd w:fill="F2F7FB" w:val="clear"/>
            <w:tcMar>
              <w:top w:type="dxa" w:w="60"/>
              <w:left w:type="dxa" w:w="80"/>
              <w:bottom w:type="dxa" w:w="60"/>
              <w:right w:type="dxa" w:w="80"/>
            </w:tcMar>
          </w:tcPr>
          <w:p>
            <w:r>
              <w:rPr>
                <w:sz w:val="18"/>
                <w:szCs w:val="18"/>
              </w:rPr>
              <w:t xml:space="preserve">5.0</w:t>
            </w:r>
          </w:p>
        </w:tc>
        <w:tc>
          <w:tcPr>
            <w:tcW w:type="dxa" w:w="1560"/>
            <w:tcBorders>
              <w:top w:val="single" w:color="CCCCCC" w:sz="1"/>
              <w:left w:val="single" w:color="CCCCCC" w:sz="1"/>
              <w:bottom w:val="single" w:color="CCCCCC" w:sz="1"/>
              <w:right w:val="single" w:color="CCCCCC" w:sz="1"/>
            </w:tcBorders>
            <w:shd w:fill="F2F7FB" w:val="clear"/>
            <w:tcMar>
              <w:top w:type="dxa" w:w="60"/>
              <w:left w:type="dxa" w:w="80"/>
              <w:bottom w:type="dxa" w:w="60"/>
              <w:right w:type="dxa" w:w="80"/>
            </w:tcMar>
          </w:tcPr>
          <w:p>
            <w:r>
              <w:rPr>
                <w:sz w:val="18"/>
                <w:szCs w:val="18"/>
              </w:rPr>
              <w:t xml:space="preserve">25.0</w:t>
            </w:r>
          </w:p>
        </w:tc>
        <w:tc>
          <w:tcPr>
            <w:tcW w:type="dxa" w:w="1560"/>
            <w:tcBorders>
              <w:top w:val="single" w:color="CCCCCC" w:sz="1"/>
              <w:left w:val="single" w:color="CCCCCC" w:sz="1"/>
              <w:bottom w:val="single" w:color="CCCCCC" w:sz="1"/>
              <w:right w:val="single" w:color="CCCCCC" w:sz="1"/>
            </w:tcBorders>
            <w:shd w:fill="F2F7FB" w:val="clear"/>
            <w:tcMar>
              <w:top w:type="dxa" w:w="60"/>
              <w:left w:type="dxa" w:w="80"/>
              <w:bottom w:type="dxa" w:w="60"/>
              <w:right w:type="dxa" w:w="80"/>
            </w:tcMar>
          </w:tcPr>
          <w:p>
            <w:r>
              <w:rPr>
                <w:sz w:val="18"/>
                <w:szCs w:val="18"/>
              </w:rPr>
              <w:t xml:space="preserve">km</w:t>
            </w:r>
          </w:p>
        </w:tc>
      </w:tr>
      <w:tr>
        <w:tc>
          <w:tcPr>
            <w:tcW w:type="dxa" w:w="15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8"/>
                <w:szCs w:val="18"/>
              </w:rPr>
              <w:t xml:space="preserve">Lost Hunter</w:t>
            </w:r>
          </w:p>
        </w:tc>
        <w:tc>
          <w:tcPr>
            <w:tcW w:type="dxa" w:w="15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8"/>
                <w:szCs w:val="18"/>
              </w:rPr>
              <w:t xml:space="preserve">1.0</w:t>
            </w:r>
          </w:p>
        </w:tc>
        <w:tc>
          <w:tcPr>
            <w:tcW w:type="dxa" w:w="15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8"/>
                <w:szCs w:val="18"/>
              </w:rPr>
              <w:t xml:space="preserve">2.5</w:t>
            </w:r>
          </w:p>
        </w:tc>
        <w:tc>
          <w:tcPr>
            <w:tcW w:type="dxa" w:w="15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8"/>
                <w:szCs w:val="18"/>
              </w:rPr>
              <w:t xml:space="preserve">4.0</w:t>
            </w:r>
          </w:p>
        </w:tc>
        <w:tc>
          <w:tcPr>
            <w:tcW w:type="dxa" w:w="15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8"/>
                <w:szCs w:val="18"/>
              </w:rPr>
              <w:t xml:space="preserve">15.0</w:t>
            </w:r>
          </w:p>
        </w:tc>
        <w:tc>
          <w:tcPr>
            <w:tcW w:type="dxa" w:w="15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8"/>
                <w:szCs w:val="18"/>
              </w:rPr>
              <w:t xml:space="preserve">km</w:t>
            </w:r>
          </w:p>
        </w:tc>
      </w:tr>
      <w:tr>
        <w:tc>
          <w:tcPr>
            <w:tcW w:type="dxa" w:w="1560"/>
            <w:tcBorders>
              <w:top w:val="single" w:color="CCCCCC" w:sz="1"/>
              <w:left w:val="single" w:color="CCCCCC" w:sz="1"/>
              <w:bottom w:val="single" w:color="CCCCCC" w:sz="1"/>
              <w:right w:val="single" w:color="CCCCCC" w:sz="1"/>
            </w:tcBorders>
            <w:shd w:fill="F2F7FB" w:val="clear"/>
            <w:tcMar>
              <w:top w:type="dxa" w:w="60"/>
              <w:left w:type="dxa" w:w="80"/>
              <w:bottom w:type="dxa" w:w="60"/>
              <w:right w:type="dxa" w:w="80"/>
            </w:tcMar>
          </w:tcPr>
          <w:p>
            <w:r>
              <w:rPr>
                <w:sz w:val="18"/>
                <w:szCs w:val="18"/>
              </w:rPr>
              <w:t xml:space="preserve">Lost Vehicle</w:t>
            </w:r>
          </w:p>
        </w:tc>
        <w:tc>
          <w:tcPr>
            <w:tcW w:type="dxa" w:w="1560"/>
            <w:tcBorders>
              <w:top w:val="single" w:color="CCCCCC" w:sz="1"/>
              <w:left w:val="single" w:color="CCCCCC" w:sz="1"/>
              <w:bottom w:val="single" w:color="CCCCCC" w:sz="1"/>
              <w:right w:val="single" w:color="CCCCCC" w:sz="1"/>
            </w:tcBorders>
            <w:shd w:fill="F2F7FB" w:val="clear"/>
            <w:tcMar>
              <w:top w:type="dxa" w:w="60"/>
              <w:left w:type="dxa" w:w="80"/>
              <w:bottom w:type="dxa" w:w="60"/>
              <w:right w:type="dxa" w:w="80"/>
            </w:tcMar>
          </w:tcPr>
          <w:p>
            <w:r>
              <w:rPr>
                <w:sz w:val="18"/>
                <w:szCs w:val="18"/>
              </w:rPr>
              <w:t xml:space="preserve">3.0</w:t>
            </w:r>
          </w:p>
        </w:tc>
        <w:tc>
          <w:tcPr>
            <w:tcW w:type="dxa" w:w="1560"/>
            <w:tcBorders>
              <w:top w:val="single" w:color="CCCCCC" w:sz="1"/>
              <w:left w:val="single" w:color="CCCCCC" w:sz="1"/>
              <w:bottom w:val="single" w:color="CCCCCC" w:sz="1"/>
              <w:right w:val="single" w:color="CCCCCC" w:sz="1"/>
            </w:tcBorders>
            <w:shd w:fill="F2F7FB" w:val="clear"/>
            <w:tcMar>
              <w:top w:type="dxa" w:w="60"/>
              <w:left w:type="dxa" w:w="80"/>
              <w:bottom w:type="dxa" w:w="60"/>
              <w:right w:type="dxa" w:w="80"/>
            </w:tcMar>
          </w:tcPr>
          <w:p>
            <w:r>
              <w:rPr>
                <w:sz w:val="18"/>
                <w:szCs w:val="18"/>
              </w:rPr>
              <w:t xml:space="preserve">6.0</w:t>
            </w:r>
          </w:p>
        </w:tc>
        <w:tc>
          <w:tcPr>
            <w:tcW w:type="dxa" w:w="1560"/>
            <w:tcBorders>
              <w:top w:val="single" w:color="CCCCCC" w:sz="1"/>
              <w:left w:val="single" w:color="CCCCCC" w:sz="1"/>
              <w:bottom w:val="single" w:color="CCCCCC" w:sz="1"/>
              <w:right w:val="single" w:color="CCCCCC" w:sz="1"/>
            </w:tcBorders>
            <w:shd w:fill="F2F7FB" w:val="clear"/>
            <w:tcMar>
              <w:top w:type="dxa" w:w="60"/>
              <w:left w:type="dxa" w:w="80"/>
              <w:bottom w:type="dxa" w:w="60"/>
              <w:right w:type="dxa" w:w="80"/>
            </w:tcMar>
          </w:tcPr>
          <w:p>
            <w:r>
              <w:rPr>
                <w:sz w:val="18"/>
                <w:szCs w:val="18"/>
              </w:rPr>
              <w:t xml:space="preserve">10.0</w:t>
            </w:r>
          </w:p>
        </w:tc>
        <w:tc>
          <w:tcPr>
            <w:tcW w:type="dxa" w:w="1560"/>
            <w:tcBorders>
              <w:top w:val="single" w:color="CCCCCC" w:sz="1"/>
              <w:left w:val="single" w:color="CCCCCC" w:sz="1"/>
              <w:bottom w:val="single" w:color="CCCCCC" w:sz="1"/>
              <w:right w:val="single" w:color="CCCCCC" w:sz="1"/>
            </w:tcBorders>
            <w:shd w:fill="F2F7FB" w:val="clear"/>
            <w:tcMar>
              <w:top w:type="dxa" w:w="60"/>
              <w:left w:type="dxa" w:w="80"/>
              <w:bottom w:type="dxa" w:w="60"/>
              <w:right w:type="dxa" w:w="80"/>
            </w:tcMar>
          </w:tcPr>
          <w:p>
            <w:r>
              <w:rPr>
                <w:sz w:val="18"/>
                <w:szCs w:val="18"/>
              </w:rPr>
              <w:t xml:space="preserve">50.0</w:t>
            </w:r>
          </w:p>
        </w:tc>
        <w:tc>
          <w:tcPr>
            <w:tcW w:type="dxa" w:w="1560"/>
            <w:tcBorders>
              <w:top w:val="single" w:color="CCCCCC" w:sz="1"/>
              <w:left w:val="single" w:color="CCCCCC" w:sz="1"/>
              <w:bottom w:val="single" w:color="CCCCCC" w:sz="1"/>
              <w:right w:val="single" w:color="CCCCCC" w:sz="1"/>
            </w:tcBorders>
            <w:shd w:fill="F2F7FB" w:val="clear"/>
            <w:tcMar>
              <w:top w:type="dxa" w:w="60"/>
              <w:left w:type="dxa" w:w="80"/>
              <w:bottom w:type="dxa" w:w="60"/>
              <w:right w:type="dxa" w:w="80"/>
            </w:tcMar>
          </w:tcPr>
          <w:p>
            <w:r>
              <w:rPr>
                <w:sz w:val="18"/>
                <w:szCs w:val="18"/>
              </w:rPr>
              <w:t xml:space="preserve">km</w:t>
            </w:r>
          </w:p>
        </w:tc>
      </w:tr>
      <w:tr>
        <w:tc>
          <w:tcPr>
            <w:tcW w:type="dxa" w:w="15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8"/>
                <w:szCs w:val="18"/>
              </w:rPr>
              <w:t xml:space="preserve">Mental Health</w:t>
            </w:r>
          </w:p>
        </w:tc>
        <w:tc>
          <w:tcPr>
            <w:tcW w:type="dxa" w:w="15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8"/>
                <w:szCs w:val="18"/>
              </w:rPr>
              <w:t xml:space="preserve">0.8</w:t>
            </w:r>
          </w:p>
        </w:tc>
        <w:tc>
          <w:tcPr>
            <w:tcW w:type="dxa" w:w="15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8"/>
                <w:szCs w:val="18"/>
              </w:rPr>
              <w:t xml:space="preserve">1.5</w:t>
            </w:r>
          </w:p>
        </w:tc>
        <w:tc>
          <w:tcPr>
            <w:tcW w:type="dxa" w:w="15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8"/>
                <w:szCs w:val="18"/>
              </w:rPr>
              <w:t xml:space="preserve">3.0</w:t>
            </w:r>
          </w:p>
        </w:tc>
        <w:tc>
          <w:tcPr>
            <w:tcW w:type="dxa" w:w="15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8"/>
                <w:szCs w:val="18"/>
              </w:rPr>
              <w:t xml:space="preserve">8.0</w:t>
            </w:r>
          </w:p>
        </w:tc>
        <w:tc>
          <w:tcPr>
            <w:tcW w:type="dxa" w:w="15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8"/>
                <w:szCs w:val="18"/>
              </w:rPr>
              <w:t xml:space="preserve">km</w:t>
            </w:r>
          </w:p>
        </w:tc>
      </w:tr>
    </w:tbl>
    <w:p>
      <w:pPr>
        <w:pStyle w:val="Heading1"/>
        <w:spacing w:before="300"/>
      </w:pPr>
      <w:r>
        <w:t xml:space="preserve">Technical Details</w:t>
      </w:r>
    </w:p>
    <w:p>
      <w:pPr>
        <w:pStyle w:val="ListParagraph"/>
        <w:numPr>
          <w:ilvl w:val="0"/>
          <w:numId w:val="3"/>
        </w:numPr>
        <w:spacing w:after="60"/>
      </w:pPr>
      <w:r>
        <w:rPr>
          <w:b/>
          <w:bCs/>
        </w:rPr>
        <w:t xml:space="preserve">Language: </w:t>
      </w:r>
      <w:r>
        <w:t xml:space="preserve">Python 3.14</w:t>
      </w:r>
    </w:p>
    <w:p>
      <w:pPr>
        <w:pStyle w:val="ListParagraph"/>
        <w:numPr>
          <w:ilvl w:val="0"/>
          <w:numId w:val="3"/>
        </w:numPr>
        <w:spacing w:after="60"/>
      </w:pPr>
      <w:r>
        <w:rPr>
          <w:b/>
          <w:bCs/>
        </w:rPr>
        <w:t xml:space="preserve">Framework: </w:t>
      </w:r>
      <w:r>
        <w:t xml:space="preserve">Flask (web application)</w:t>
      </w:r>
    </w:p>
    <w:p>
      <w:pPr>
        <w:pStyle w:val="ListParagraph"/>
        <w:numPr>
          <w:ilvl w:val="0"/>
          <w:numId w:val="3"/>
        </w:numPr>
        <w:spacing w:after="60"/>
      </w:pPr>
      <w:r>
        <w:rPr>
          <w:b/>
          <w:bCs/>
        </w:rPr>
        <w:t xml:space="preserve">Export Format: </w:t>
      </w:r>
      <w:r>
        <w:t xml:space="preserve">KML (Google Earth / CalTopo compatible with styled icons)</w:t>
      </w:r>
    </w:p>
    <w:p>
      <w:pPr>
        <w:pStyle w:val="ListParagraph"/>
        <w:numPr>
          <w:ilvl w:val="0"/>
          <w:numId w:val="3"/>
        </w:numPr>
        <w:spacing w:after="60"/>
      </w:pPr>
      <w:r>
        <w:rPr>
          <w:b/>
          <w:bCs/>
        </w:rPr>
        <w:t xml:space="preserve">Elevation Data: </w:t>
      </w:r>
      <w:r>
        <w:t xml:space="preserve">USGS 3DEP via Elevation Point Query Service</w:t>
      </w:r>
    </w:p>
    <w:p>
      <w:pPr>
        <w:pStyle w:val="ListParagraph"/>
        <w:numPr>
          <w:ilvl w:val="0"/>
          <w:numId w:val="3"/>
        </w:numPr>
        <w:spacing w:after="60"/>
      </w:pPr>
      <w:r>
        <w:rPr>
          <w:b/>
          <w:bCs/>
        </w:rPr>
        <w:t xml:space="preserve">Trail Data: </w:t>
      </w:r>
      <w:r>
        <w:t xml:space="preserve">OpenStreetMap Overpass API + KML/GPX file upload</w:t>
      </w:r>
    </w:p>
    <w:p>
      <w:pPr>
        <w:pStyle w:val="ListParagraph"/>
        <w:numPr>
          <w:ilvl w:val="0"/>
          <w:numId w:val="3"/>
        </w:numPr>
        <w:spacing w:after="60"/>
      </w:pPr>
      <w:r>
        <w:rPr>
          <w:b/>
          <w:bCs/>
        </w:rPr>
        <w:t xml:space="preserve">Behavioral Data: </w:t>
      </w:r>
      <w:r>
        <w:t xml:space="preserve">Koester / ISRID lost person behavioral profiles</w:t>
      </w:r>
    </w:p>
    <w:p>
      <w:pPr>
        <w:pStyle w:val="ListParagraph"/>
        <w:numPr>
          <w:ilvl w:val="0"/>
          <w:numId w:val="3"/>
        </w:numPr>
        <w:spacing w:after="60"/>
      </w:pPr>
      <w:r>
        <w:rPr>
          <w:b/>
          <w:bCs/>
        </w:rPr>
        <w:t xml:space="preserve">Libraries: </w:t>
      </w:r>
      <w:r>
        <w:t xml:space="preserve">Flask, lxml, requests, numpy, scipy</w:t>
      </w:r>
    </w:p>
    <w:p>
      <w:pPr>
        <w:pStyle w:val="ListParagraph"/>
        <w:numPr>
          <w:ilvl w:val="0"/>
          <w:numId w:val="3"/>
        </w:numPr>
        <w:spacing w:after="60"/>
      </w:pPr>
      <w:r>
        <w:rPr>
          <w:b/>
          <w:bCs/>
        </w:rPr>
        <w:t xml:space="preserve">Codebase: </w:t>
      </w:r>
      <w:r>
        <w:t xml:space="preserve">1,773 lines across 3 files (app.py, form.html, hasty.html)</w:t>
      </w:r>
    </w:p>
    <w:p>
      <w:pPr>
        <w:pStyle w:val="ListParagraph"/>
        <w:numPr>
          <w:ilvl w:val="0"/>
          <w:numId w:val="3"/>
        </w:numPr>
        <w:spacing w:after="200"/>
      </w:pPr>
      <w:r>
        <w:rPr>
          <w:b/>
          <w:bCs/>
        </w:rPr>
        <w:t xml:space="preserve">Hosting: </w:t>
      </w:r>
      <w:r>
        <w:t xml:space="preserve">Runs locally on Windows laptop via localhost</w:t>
      </w:r>
    </w:p>
    <w:p>
      <w:pPr>
        <w:pBdr>
          <w:top w:val="single" w:color="2E5D8A" w:sz="6" w:space="1"/>
        </w:pBdr>
        <w:spacing w:before="300"/>
      </w:pPr>
    </w:p>
    <w:p>
      <w:pPr>
        <w:spacing w:after="100" w:before="200"/>
      </w:pPr>
      <w:r>
        <w:rPr>
          <w:i/>
          <w:iCs/>
          <w:color w:val="555555"/>
        </w:rPr>
        <w:t xml:space="preserve">MARLY 1.0 is operational and producing field-ready search plans that import directly into CalTopo with styled icons, probability rings, search sectors, trail corridors, and operational markers. The hasty search module enables rapid first-response planning with trail-based corridors and gap sectors. Phase 5 elevation integration is in progress, with terrain feature detection active and contour-based sector shaping as the next development priority. The tool is designed to compress SAR planning time from hours to minutes, providing incident commanders with a data-driven starting framework that planning teams can refine at the ICP.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pPr>
    <w:rPr>
      <w:rFonts w:ascii="Arial" w:cs="Arial" w:eastAsia="Arial" w:hAnsi="Arial"/>
      <w:b/>
      <w:bCs/>
      <w:color w:val="1B3A5C"/>
      <w:sz w:val="32"/>
      <w:szCs w:val="32"/>
    </w:rPr>
  </w:style>
  <w:style w:type="paragraph" w:styleId="Heading2">
    <w:name w:val="Heading 2"/>
    <w:basedOn w:val="Normal"/>
    <w:next w:val="Normal"/>
    <w:qFormat/>
    <w:pPr>
      <w:spacing w:after="120" w:before="240"/>
    </w:pPr>
    <w:rPr>
      <w:rFonts w:ascii="Arial" w:cs="Arial" w:eastAsia="Arial" w:hAnsi="Arial"/>
      <w:b/>
      <w:bCs/>
      <w:color w:val="2E5D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9381f034f216f663d25713ae76e9cba2535dc1e.png"/><Relationship Id="rId8" Type="http://schemas.openxmlformats.org/officeDocument/2006/relationships/image" Target="media/55a52a11f703fae8c496ba94fe29d468f2a302b5.jpg"/><Relationship Id="rId9" Type="http://schemas.openxmlformats.org/officeDocument/2006/relationships/image" Target="media/0672e21ab883aa63bb4ce08b8b59ebc2784ea04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2026-05-20T20:15:08.783Z</dcterms:created>
  <dcterms:modified xsi:type="dcterms:W3CDTF">2026-05-20T20:15:08.797Z</dcterms:modified>
</cp:coreProperties>
</file>

<file path=docProps/custom.xml><?xml version="1.0" encoding="utf-8"?>
<Properties xmlns="http://schemas.openxmlformats.org/officeDocument/2006/custom-properties" xmlns:vt="http://schemas.openxmlformats.org/officeDocument/2006/docPropsVTypes"/>
</file>