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4BE8" w:rsidRPr="00804BE8" w:rsidRDefault="00804BE8" w:rsidP="00804BE8">
      <w:pPr>
        <w:spacing w:before="100" w:beforeAutospacing="1" w:after="100" w:afterAutospacing="1" w:line="240" w:lineRule="auto"/>
        <w:outlineLvl w:val="3"/>
        <w:rPr>
          <w:rFonts w:ascii="Segoe UI" w:eastAsia="Times New Roman" w:hAnsi="Segoe UI" w:cs="Segoe UI"/>
          <w:b/>
          <w:bCs/>
          <w:color w:val="3B3B3B"/>
          <w:sz w:val="20"/>
          <w:szCs w:val="20"/>
        </w:rPr>
      </w:pPr>
      <w:r w:rsidRPr="00804BE8">
        <w:rPr>
          <w:rFonts w:ascii="Segoe UI" w:eastAsia="Times New Roman" w:hAnsi="Segoe UI" w:cs="Segoe UI"/>
          <w:b/>
          <w:bCs/>
          <w:color w:val="3B3B3B"/>
          <w:sz w:val="20"/>
          <w:szCs w:val="20"/>
        </w:rPr>
        <w:t>Diagnose: Identifying a Gap in Healthcare Delivery</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A significant and costly gap in modern healthcare delivery is the lack of effective transitional care for patients with chronic conditions, specifically those recently discharged from the hospital after an acute exacerbation of Congestive Heart Failure (CHF). This period, often the first 30 days post-discharge, is fraught with risk. Patients are vulnerable, navigating a complex regimen of new medications, dietary restrictions, and follow-up appointments, often with limited support. The significance of this gap is underscored by staggering hospital readmission rates. According to industry reports and data from agencies like the Centers for Medicare &amp; Medicaid Services (CMS), nearly one in four CHF patients in the United States is readmitted to the hospital within 30 days of discharge. This "revolving door" phenomenon not only signifies a failure in the care continuum but also places an immense financial burden on the healthcare system, with readmissions for heart failure costing billions of dollars annually. My awareness of this issue stems from reviewing healthcare administration literature and reports from organizations like the American Heart Association that consistently highlight readmission reduction as a top priority.</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The stakeholders affected by this gap are numerous and diverse. </w:t>
      </w:r>
      <w:r w:rsidRPr="00804BE8">
        <w:rPr>
          <w:rFonts w:ascii="Segoe UI" w:eastAsia="Times New Roman" w:hAnsi="Segoe UI" w:cs="Segoe UI"/>
          <w:b/>
          <w:bCs/>
          <w:color w:val="3B3B3B"/>
          <w:sz w:val="20"/>
          <w:szCs w:val="20"/>
        </w:rPr>
        <w:t>Patients</w:t>
      </w:r>
      <w:r w:rsidRPr="00804BE8">
        <w:rPr>
          <w:rFonts w:ascii="Segoe UI" w:eastAsia="Times New Roman" w:hAnsi="Segoe UI" w:cs="Segoe UI"/>
          <w:color w:val="3B3B3B"/>
          <w:sz w:val="20"/>
          <w:szCs w:val="20"/>
        </w:rPr>
        <w:t> are the most directly impacted; they suffer from a diminished quality of life, increased morbidity, and the psychological distress of repeated hospitalizations. Their </w:t>
      </w:r>
      <w:r w:rsidRPr="00804BE8">
        <w:rPr>
          <w:rFonts w:ascii="Segoe UI" w:eastAsia="Times New Roman" w:hAnsi="Segoe UI" w:cs="Segoe UI"/>
          <w:b/>
          <w:bCs/>
          <w:color w:val="3B3B3B"/>
          <w:sz w:val="20"/>
          <w:szCs w:val="20"/>
        </w:rPr>
        <w:t>family members and caregivers</w:t>
      </w:r>
      <w:r w:rsidRPr="00804BE8">
        <w:rPr>
          <w:rFonts w:ascii="Segoe UI" w:eastAsia="Times New Roman" w:hAnsi="Segoe UI" w:cs="Segoe UI"/>
          <w:color w:val="3B3B3B"/>
          <w:sz w:val="20"/>
          <w:szCs w:val="20"/>
        </w:rPr>
        <w:t> often bear a heavy, uncompensated burden, struggling to manage complex care plans without adequate training or support. For </w:t>
      </w:r>
      <w:r w:rsidRPr="00804BE8">
        <w:rPr>
          <w:rFonts w:ascii="Segoe UI" w:eastAsia="Times New Roman" w:hAnsi="Segoe UI" w:cs="Segoe UI"/>
          <w:b/>
          <w:bCs/>
          <w:color w:val="3B3B3B"/>
          <w:sz w:val="20"/>
          <w:szCs w:val="20"/>
        </w:rPr>
        <w:t>healthcare providers and hospitals</w:t>
      </w:r>
      <w:r w:rsidRPr="00804BE8">
        <w:rPr>
          <w:rFonts w:ascii="Segoe UI" w:eastAsia="Times New Roman" w:hAnsi="Segoe UI" w:cs="Segoe UI"/>
          <w:color w:val="3B3B3B"/>
          <w:sz w:val="20"/>
          <w:szCs w:val="20"/>
        </w:rPr>
        <w:t>, high readmission rates lead to significant financial penalties under programs like the Hospital Readmissions Reduction Program (HRRP), alongside strained capacity and the professional dissatisfaction of seeing poor patient outcomes. </w:t>
      </w:r>
      <w:r w:rsidRPr="00804BE8">
        <w:rPr>
          <w:rFonts w:ascii="Segoe UI" w:eastAsia="Times New Roman" w:hAnsi="Segoe UI" w:cs="Segoe UI"/>
          <w:b/>
          <w:bCs/>
          <w:color w:val="3B3B3B"/>
          <w:sz w:val="20"/>
          <w:szCs w:val="20"/>
        </w:rPr>
        <w:t>Payers</w:t>
      </w:r>
      <w:r w:rsidRPr="00804BE8">
        <w:rPr>
          <w:rFonts w:ascii="Segoe UI" w:eastAsia="Times New Roman" w:hAnsi="Segoe UI" w:cs="Segoe UI"/>
          <w:color w:val="3B3B3B"/>
          <w:sz w:val="20"/>
          <w:szCs w:val="20"/>
        </w:rPr>
        <w:t>, including private insurers and public programs like Medicare, face the direct financial impact of covering the high costs associated with frequent, preventable hospital stays. Finally, </w:t>
      </w:r>
      <w:r w:rsidRPr="00804BE8">
        <w:rPr>
          <w:rFonts w:ascii="Segoe UI" w:eastAsia="Times New Roman" w:hAnsi="Segoe UI" w:cs="Segoe UI"/>
          <w:b/>
          <w:bCs/>
          <w:color w:val="3B3B3B"/>
          <w:sz w:val="20"/>
          <w:szCs w:val="20"/>
        </w:rPr>
        <w:t>regulators</w:t>
      </w:r>
      <w:r w:rsidRPr="00804BE8">
        <w:rPr>
          <w:rFonts w:ascii="Segoe UI" w:eastAsia="Times New Roman" w:hAnsi="Segoe UI" w:cs="Segoe UI"/>
          <w:color w:val="3B3B3B"/>
          <w:sz w:val="20"/>
          <w:szCs w:val="20"/>
        </w:rPr>
        <w:t> and public health bodies are concerned with the overall quality and cost-effectiveness of the healthcare system, which is severely undermined by this persistent gap.</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Several key factors contribute to this failure in transitional care. </w:t>
      </w:r>
      <w:r w:rsidRPr="00804BE8">
        <w:rPr>
          <w:rFonts w:ascii="Segoe UI" w:eastAsia="Times New Roman" w:hAnsi="Segoe UI" w:cs="Segoe UI"/>
          <w:b/>
          <w:bCs/>
          <w:color w:val="3B3B3B"/>
          <w:sz w:val="20"/>
          <w:szCs w:val="20"/>
        </w:rPr>
        <w:t>Operationally</w:t>
      </w:r>
      <w:r w:rsidRPr="00804BE8">
        <w:rPr>
          <w:rFonts w:ascii="Segoe UI" w:eastAsia="Times New Roman" w:hAnsi="Segoe UI" w:cs="Segoe UI"/>
          <w:color w:val="3B3B3B"/>
          <w:sz w:val="20"/>
          <w:szCs w:val="20"/>
        </w:rPr>
        <w:t>, communication is often fragmented between the inpatient hospital team and the patient's outpatient primary care physician and cardiologist. Discharge instructions can be complex and delivered in medical jargon that patients with low health literacy cannot comprehend. There is also a lack of standardized follow-up; a patient may be discharged with instructions to "see your doctor in one week," but the responsibility for scheduling and attending that appointment falls entirely on the already overwhelmed patient or caregiver. </w:t>
      </w:r>
      <w:r w:rsidRPr="00804BE8">
        <w:rPr>
          <w:rFonts w:ascii="Segoe UI" w:eastAsia="Times New Roman" w:hAnsi="Segoe UI" w:cs="Segoe UI"/>
          <w:b/>
          <w:bCs/>
          <w:color w:val="3B3B3B"/>
          <w:sz w:val="20"/>
          <w:szCs w:val="20"/>
        </w:rPr>
        <w:t>Financially</w:t>
      </w:r>
      <w:r w:rsidRPr="00804BE8">
        <w:rPr>
          <w:rFonts w:ascii="Segoe UI" w:eastAsia="Times New Roman" w:hAnsi="Segoe UI" w:cs="Segoe UI"/>
          <w:color w:val="3B3B3B"/>
          <w:sz w:val="20"/>
          <w:szCs w:val="20"/>
        </w:rPr>
        <w:t>, the traditional fee-for-service reimbursement model disincentivizes proactive, non-visit-based care. Hospitals and clinics are paid for treating sickness, not for the time-intensive work of care coordination, patient education, and remote monitoring that prevents sickness. This creates a system where the resources required to bridge the discharge gap are chronically underfunded.</w:t>
      </w:r>
    </w:p>
    <w:p w:rsidR="00804BE8" w:rsidRPr="00804BE8" w:rsidRDefault="00804BE8" w:rsidP="00804BE8">
      <w:pPr>
        <w:spacing w:before="100" w:beforeAutospacing="1" w:after="100" w:afterAutospacing="1" w:line="240" w:lineRule="auto"/>
        <w:outlineLvl w:val="3"/>
        <w:rPr>
          <w:rFonts w:ascii="Segoe UI" w:eastAsia="Times New Roman" w:hAnsi="Segoe UI" w:cs="Segoe UI"/>
          <w:b/>
          <w:bCs/>
          <w:color w:val="3B3B3B"/>
          <w:sz w:val="20"/>
          <w:szCs w:val="20"/>
        </w:rPr>
      </w:pPr>
      <w:r w:rsidRPr="00804BE8">
        <w:rPr>
          <w:rFonts w:ascii="Segoe UI" w:eastAsia="Times New Roman" w:hAnsi="Segoe UI" w:cs="Segoe UI"/>
          <w:b/>
          <w:bCs/>
          <w:color w:val="3B3B3B"/>
          <w:sz w:val="20"/>
          <w:szCs w:val="20"/>
        </w:rPr>
        <w:t>Discover: Developing an Initial Innovation Concept</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To address the critical gap in post-discharge care for CHF patients, I propose an integrated, technology-enabled transitional care platform called "Heart-to-Home." This innovation is a hybrid solution, combining a user-friendly mobile application for patients and caregivers with a dedicated remote clinical support team. It is not merely a piece of technology but a re-engineered process for managing the first 30-90 days post-discharge.</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The Heart-to-Home platform would function as follows:</w:t>
      </w:r>
    </w:p>
    <w:p w:rsidR="00804BE8" w:rsidRPr="00804BE8" w:rsidRDefault="00804BE8" w:rsidP="00804BE8">
      <w:pPr>
        <w:numPr>
          <w:ilvl w:val="0"/>
          <w:numId w:val="1"/>
        </w:num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b/>
          <w:bCs/>
          <w:color w:val="3B3B3B"/>
          <w:sz w:val="20"/>
          <w:szCs w:val="20"/>
        </w:rPr>
        <w:lastRenderedPageBreak/>
        <w:t>Patient-Facing Mobile App:</w:t>
      </w:r>
      <w:r w:rsidRPr="00804BE8">
        <w:rPr>
          <w:rFonts w:ascii="Segoe UI" w:eastAsia="Times New Roman" w:hAnsi="Segoe UI" w:cs="Segoe UI"/>
          <w:color w:val="3B3B3B"/>
          <w:sz w:val="20"/>
          <w:szCs w:val="20"/>
        </w:rPr>
        <w:t> Upon discharge, patients are set up with an app that provides daily reminders for medications, weight checks, and blood pressure monitoring. It features simple, video-based educational content on CHF management (e.g., low-sodium diet tips, recognizing symptoms of fluid retention). Patients can log their daily vitals (weight, blood pressure) either manually or via Bluetooth-connected devices. A "red flag" feature allows them to report symptoms like sudden weight gain or increased shortness of breath with a single tap.</w:t>
      </w:r>
    </w:p>
    <w:p w:rsidR="00804BE8" w:rsidRPr="00804BE8" w:rsidRDefault="00804BE8" w:rsidP="00804BE8">
      <w:pPr>
        <w:numPr>
          <w:ilvl w:val="0"/>
          <w:numId w:val="1"/>
        </w:num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b/>
          <w:bCs/>
          <w:color w:val="3B3B3B"/>
          <w:sz w:val="20"/>
          <w:szCs w:val="20"/>
        </w:rPr>
        <w:t>Remote Clinical Dashboard:</w:t>
      </w:r>
      <w:r w:rsidRPr="00804BE8">
        <w:rPr>
          <w:rFonts w:ascii="Segoe UI" w:eastAsia="Times New Roman" w:hAnsi="Segoe UI" w:cs="Segoe UI"/>
          <w:color w:val="3B3B3B"/>
          <w:sz w:val="20"/>
          <w:szCs w:val="20"/>
        </w:rPr>
        <w:t> A team of transitional care nurses monitors a centralized dashboard that displays real-time data from all enrolled patients. The system uses algorithms to flag at-risk patients based on missed medications, concerning vital signs, or self-reported symptoms.</w:t>
      </w:r>
    </w:p>
    <w:p w:rsidR="00804BE8" w:rsidRPr="00804BE8" w:rsidRDefault="00804BE8" w:rsidP="00804BE8">
      <w:pPr>
        <w:numPr>
          <w:ilvl w:val="0"/>
          <w:numId w:val="1"/>
        </w:num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b/>
          <w:bCs/>
          <w:color w:val="3B3B3B"/>
          <w:sz w:val="20"/>
          <w:szCs w:val="20"/>
        </w:rPr>
        <w:t>Proactive Intervention:</w:t>
      </w:r>
      <w:r w:rsidRPr="00804BE8">
        <w:rPr>
          <w:rFonts w:ascii="Segoe UI" w:eastAsia="Times New Roman" w:hAnsi="Segoe UI" w:cs="Segoe UI"/>
          <w:color w:val="3B3B3B"/>
          <w:sz w:val="20"/>
          <w:szCs w:val="20"/>
        </w:rPr>
        <w:t> When the system flags a patient, a nurse from the remote team initiates a proactive telehealth call. This nurse can provide immediate coaching, clarify medication questions, assess the patient's condition, and, if necessary, coordinate directly with the patient's cardiologist or primary care physician to adjust treatment plans or schedule an urgent clinic visit, thereby preventing a full-blown emergency requiring hospitalization.</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This solution is designed to align directly with stakeholder needs. For </w:t>
      </w:r>
      <w:r w:rsidRPr="00804BE8">
        <w:rPr>
          <w:rFonts w:ascii="Segoe UI" w:eastAsia="Times New Roman" w:hAnsi="Segoe UI" w:cs="Segoe UI"/>
          <w:b/>
          <w:bCs/>
          <w:color w:val="3B3B3B"/>
          <w:sz w:val="20"/>
          <w:szCs w:val="20"/>
        </w:rPr>
        <w:t>patients and caregivers</w:t>
      </w:r>
      <w:r w:rsidRPr="00804BE8">
        <w:rPr>
          <w:rFonts w:ascii="Segoe UI" w:eastAsia="Times New Roman" w:hAnsi="Segoe UI" w:cs="Segoe UI"/>
          <w:color w:val="3B3B3B"/>
          <w:sz w:val="20"/>
          <w:szCs w:val="20"/>
        </w:rPr>
        <w:t>, it provides a safety net, demystifying the complex care plan and offering a direct line to clinical support, which reduces anxiety and empowers them to manage their health. For </w:t>
      </w:r>
      <w:r w:rsidRPr="00804BE8">
        <w:rPr>
          <w:rFonts w:ascii="Segoe UI" w:eastAsia="Times New Roman" w:hAnsi="Segoe UI" w:cs="Segoe UI"/>
          <w:b/>
          <w:bCs/>
          <w:color w:val="3B3B3B"/>
          <w:sz w:val="20"/>
          <w:szCs w:val="20"/>
        </w:rPr>
        <w:t>providers and hospitals</w:t>
      </w:r>
      <w:r w:rsidRPr="00804BE8">
        <w:rPr>
          <w:rFonts w:ascii="Segoe UI" w:eastAsia="Times New Roman" w:hAnsi="Segoe UI" w:cs="Segoe UI"/>
          <w:color w:val="3B3B3B"/>
          <w:sz w:val="20"/>
          <w:szCs w:val="20"/>
        </w:rPr>
        <w:t>, Heart-to-Home offers a scalable, data-driven tool to reduce readmission rates, thus avoiding financial penalties and improving quality metrics. It integrates into their workflow rather than adding to their burden. For </w:t>
      </w:r>
      <w:r w:rsidRPr="00804BE8">
        <w:rPr>
          <w:rFonts w:ascii="Segoe UI" w:eastAsia="Times New Roman" w:hAnsi="Segoe UI" w:cs="Segoe UI"/>
          <w:b/>
          <w:bCs/>
          <w:color w:val="3B3B3B"/>
          <w:sz w:val="20"/>
          <w:szCs w:val="20"/>
        </w:rPr>
        <w:t>payers</w:t>
      </w:r>
      <w:r w:rsidRPr="00804BE8">
        <w:rPr>
          <w:rFonts w:ascii="Segoe UI" w:eastAsia="Times New Roman" w:hAnsi="Segoe UI" w:cs="Segoe UI"/>
          <w:color w:val="3B3B3B"/>
          <w:sz w:val="20"/>
          <w:szCs w:val="20"/>
        </w:rPr>
        <w:t>, the platform represents a shift from expensive reactive care (readmissions) to cost-effective proactive care, promising a significant return on investment.</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Existing solutions are often insufficient. Many hospitals rely on simple follow-up phone calls, which are not scalable, often miss patients, and lack real-time data. While standalone health apps exist, they lack the crucial component of a dedicated clinical team to interpret the data and intervene. Heart-to-Home represents a marked improvement by creating a closed-loop system. It doesn't just present data; it makes the data actionable by connecting the patient, the technology, and a responsive clinical team into a single, cohesive, and proactive care model.</w:t>
      </w:r>
    </w:p>
    <w:p w:rsidR="00804BE8" w:rsidRPr="00804BE8" w:rsidRDefault="00804BE8" w:rsidP="00804BE8">
      <w:pPr>
        <w:spacing w:before="100" w:beforeAutospacing="1" w:after="100" w:afterAutospacing="1" w:line="240" w:lineRule="auto"/>
        <w:outlineLvl w:val="3"/>
        <w:rPr>
          <w:rFonts w:ascii="Segoe UI" w:eastAsia="Times New Roman" w:hAnsi="Segoe UI" w:cs="Segoe UI"/>
          <w:b/>
          <w:bCs/>
          <w:color w:val="3B3B3B"/>
          <w:sz w:val="20"/>
          <w:szCs w:val="20"/>
        </w:rPr>
      </w:pPr>
      <w:r w:rsidRPr="00804BE8">
        <w:rPr>
          <w:rFonts w:ascii="Segoe UI" w:eastAsia="Times New Roman" w:hAnsi="Segoe UI" w:cs="Segoe UI"/>
          <w:b/>
          <w:bCs/>
          <w:color w:val="3B3B3B"/>
          <w:sz w:val="20"/>
          <w:szCs w:val="20"/>
        </w:rPr>
        <w:t>Determine: Assessing the Feasibility of the Innovation</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Assessing the feasibility of the "Heart-to-Home" innovation requires a multi-faceted approach that evaluates its financial viability, operational practicality, and potential for stakeholder adoption. My plan would be structured around a pilot program conducted in partnership with a medium-sized hospital or healthcare system.</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First, a comprehensive </w:t>
      </w:r>
      <w:r w:rsidRPr="00804BE8">
        <w:rPr>
          <w:rFonts w:ascii="Segoe UI" w:eastAsia="Times New Roman" w:hAnsi="Segoe UI" w:cs="Segoe UI"/>
          <w:b/>
          <w:bCs/>
          <w:color w:val="3B3B3B"/>
          <w:sz w:val="20"/>
          <w:szCs w:val="20"/>
        </w:rPr>
        <w:t>cost-benefit analysis</w:t>
      </w:r>
      <w:r w:rsidRPr="00804BE8">
        <w:rPr>
          <w:rFonts w:ascii="Segoe UI" w:eastAsia="Times New Roman" w:hAnsi="Segoe UI" w:cs="Segoe UI"/>
          <w:color w:val="3B3B3B"/>
          <w:sz w:val="20"/>
          <w:szCs w:val="20"/>
        </w:rPr>
        <w:t> would be the cornerstone of our financial feasibility assessment.</w:t>
      </w:r>
    </w:p>
    <w:p w:rsidR="00804BE8" w:rsidRPr="00804BE8" w:rsidRDefault="00804BE8" w:rsidP="00804BE8">
      <w:pPr>
        <w:numPr>
          <w:ilvl w:val="0"/>
          <w:numId w:val="2"/>
        </w:num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b/>
          <w:bCs/>
          <w:color w:val="3B3B3B"/>
          <w:sz w:val="20"/>
          <w:szCs w:val="20"/>
        </w:rPr>
        <w:t>Costs:</w:t>
      </w:r>
      <w:r w:rsidRPr="00804BE8">
        <w:rPr>
          <w:rFonts w:ascii="Segoe UI" w:eastAsia="Times New Roman" w:hAnsi="Segoe UI" w:cs="Segoe UI"/>
          <w:color w:val="3B3B3B"/>
          <w:sz w:val="20"/>
          <w:szCs w:val="20"/>
        </w:rPr>
        <w:t> We would meticulously calculate the total cost of the pilot. This includes one-time costs like software development/licensing, purchase of Bluetooth-enabled scales and blood pressure cuffs for patients, and initial training for hospital staff. It also includes recurring operational costs, primarily the salaries for the remote transitional care nurses and platform maintenance fees.</w:t>
      </w:r>
    </w:p>
    <w:p w:rsidR="00804BE8" w:rsidRPr="00804BE8" w:rsidRDefault="00804BE8" w:rsidP="00804BE8">
      <w:pPr>
        <w:numPr>
          <w:ilvl w:val="0"/>
          <w:numId w:val="2"/>
        </w:num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b/>
          <w:bCs/>
          <w:color w:val="3B3B3B"/>
          <w:sz w:val="20"/>
          <w:szCs w:val="20"/>
        </w:rPr>
        <w:t>Benefits:</w:t>
      </w:r>
      <w:r w:rsidRPr="00804BE8">
        <w:rPr>
          <w:rFonts w:ascii="Segoe UI" w:eastAsia="Times New Roman" w:hAnsi="Segoe UI" w:cs="Segoe UI"/>
          <w:color w:val="3B3B3B"/>
          <w:sz w:val="20"/>
          <w:szCs w:val="20"/>
        </w:rPr>
        <w:t xml:space="preserve"> The primary financial benefit would be the savings from avoided readmissions. We would track the 30-day and 90-day readmission rates for the pilot group of CHF patients and compare them to a historical control group from the same hospital. Using the hospital's average cost per CHF readmission (e.g., ~$15,000) and the CMS penalty data, we can quantify the direct </w:t>
      </w:r>
      <w:r w:rsidRPr="00804BE8">
        <w:rPr>
          <w:rFonts w:ascii="Segoe UI" w:eastAsia="Times New Roman" w:hAnsi="Segoe UI" w:cs="Segoe UI"/>
          <w:color w:val="3B3B3B"/>
          <w:sz w:val="20"/>
          <w:szCs w:val="20"/>
        </w:rPr>
        <w:lastRenderedPageBreak/>
        <w:t>savings. Secondary benefits, though harder to monetize, such as improved patient satisfaction scores (HCAHPS) and enhanced hospital reputation, would also be noted.</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Second, to address </w:t>
      </w:r>
      <w:r w:rsidRPr="00804BE8">
        <w:rPr>
          <w:rFonts w:ascii="Segoe UI" w:eastAsia="Times New Roman" w:hAnsi="Segoe UI" w:cs="Segoe UI"/>
          <w:b/>
          <w:bCs/>
          <w:color w:val="3B3B3B"/>
          <w:sz w:val="20"/>
          <w:szCs w:val="20"/>
        </w:rPr>
        <w:t>implementation challenges and operational feasibility</w:t>
      </w:r>
      <w:r w:rsidRPr="00804BE8">
        <w:rPr>
          <w:rFonts w:ascii="Segoe UI" w:eastAsia="Times New Roman" w:hAnsi="Segoe UI" w:cs="Segoe UI"/>
          <w:color w:val="3B3B3B"/>
          <w:sz w:val="20"/>
          <w:szCs w:val="20"/>
        </w:rPr>
        <w:t>, we would conduct a workflow analysis and stakeholder interviews before and during the pilot. We need to understand how Heart-to-Home integrates with existing Electronic Health Record (EHR) systems. Is data transfer seamless? Does it create duplicate work for staff? We would gather qualitative feedback from the discharging nurses, the remote care team, and the outpatient cardiologists to identify friction points. The key question is: does this solution simplify the care process or complicate it? The pilot would allow us to refine the platform and workflows in a controlled environment before a larger rollout.</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Third, assessing </w:t>
      </w:r>
      <w:r w:rsidRPr="00804BE8">
        <w:rPr>
          <w:rFonts w:ascii="Segoe UI" w:eastAsia="Times New Roman" w:hAnsi="Segoe UI" w:cs="Segoe UI"/>
          <w:b/>
          <w:bCs/>
          <w:color w:val="3B3B3B"/>
          <w:sz w:val="20"/>
          <w:szCs w:val="20"/>
        </w:rPr>
        <w:t>stakeholder adoption</w:t>
      </w:r>
      <w:r w:rsidRPr="00804BE8">
        <w:rPr>
          <w:rFonts w:ascii="Segoe UI" w:eastAsia="Times New Roman" w:hAnsi="Segoe UI" w:cs="Segoe UI"/>
          <w:color w:val="3B3B3B"/>
          <w:sz w:val="20"/>
          <w:szCs w:val="20"/>
        </w:rPr>
        <w:t> is critical.</w:t>
      </w:r>
    </w:p>
    <w:p w:rsidR="00804BE8" w:rsidRPr="00804BE8" w:rsidRDefault="00804BE8" w:rsidP="00804BE8">
      <w:pPr>
        <w:numPr>
          <w:ilvl w:val="0"/>
          <w:numId w:val="3"/>
        </w:num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b/>
          <w:bCs/>
          <w:color w:val="3B3B3B"/>
          <w:sz w:val="20"/>
          <w:szCs w:val="20"/>
        </w:rPr>
        <w:t>Patient/Caregiver Adoption:</w:t>
      </w:r>
      <w:r w:rsidRPr="00804BE8">
        <w:rPr>
          <w:rFonts w:ascii="Segoe UI" w:eastAsia="Times New Roman" w:hAnsi="Segoe UI" w:cs="Segoe UI"/>
          <w:color w:val="3B3B3B"/>
          <w:sz w:val="20"/>
          <w:szCs w:val="20"/>
        </w:rPr>
        <w:t> We would track patient engagement metrics within the app—how many patients log their vitals daily? How often do they access educational content? Post-pilot surveys and focus groups would be used to gauge their experience. Was the app easy to use? Did they feel better supported? This is crucial, as the best technology is useless if patients don't use it.</w:t>
      </w:r>
    </w:p>
    <w:p w:rsidR="00804BE8" w:rsidRPr="00804BE8" w:rsidRDefault="00804BE8" w:rsidP="00804BE8">
      <w:pPr>
        <w:numPr>
          <w:ilvl w:val="0"/>
          <w:numId w:val="3"/>
        </w:num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b/>
          <w:bCs/>
          <w:color w:val="3B3B3B"/>
          <w:sz w:val="20"/>
          <w:szCs w:val="20"/>
        </w:rPr>
        <w:t>Provider Adoption:</w:t>
      </w:r>
      <w:r w:rsidRPr="00804BE8">
        <w:rPr>
          <w:rFonts w:ascii="Segoe UI" w:eastAsia="Times New Roman" w:hAnsi="Segoe UI" w:cs="Segoe UI"/>
          <w:color w:val="3B3B3B"/>
          <w:sz w:val="20"/>
          <w:szCs w:val="20"/>
        </w:rPr>
        <w:t> We would survey participating physicians and hospital staff. Do they trust the data from the platform? Do they find the alerts from the remote nursing team valuable and actionable? Their buy-in is essential for the long-term success and integration of the solution into the standard of care.</w:t>
      </w:r>
    </w:p>
    <w:p w:rsidR="00804BE8" w:rsidRPr="00804BE8" w:rsidRDefault="00804BE8" w:rsidP="00804BE8">
      <w:pPr>
        <w:spacing w:before="100" w:beforeAutospacing="1" w:after="100" w:afterAutospacing="1" w:line="240" w:lineRule="auto"/>
        <w:rPr>
          <w:rFonts w:ascii="Segoe UI" w:eastAsia="Times New Roman" w:hAnsi="Segoe UI" w:cs="Segoe UI"/>
          <w:color w:val="3B3B3B"/>
          <w:sz w:val="20"/>
          <w:szCs w:val="20"/>
        </w:rPr>
      </w:pPr>
      <w:r w:rsidRPr="00804BE8">
        <w:rPr>
          <w:rFonts w:ascii="Segoe UI" w:eastAsia="Times New Roman" w:hAnsi="Segoe UI" w:cs="Segoe UI"/>
          <w:color w:val="3B3B3B"/>
          <w:sz w:val="20"/>
          <w:szCs w:val="20"/>
        </w:rPr>
        <w:t>To determine if the innovation is worth pursuing, we would synthesize this information to answer a final question: Does the demonstrable value (in cost savings and improved patient outcomes) justify the investment and operational effort? A successful pilot would show a statistically significant reduction in readmission rates, a positive return on investment within a 12-18 month timeframe, high patient engagement and satisfaction, and positive feedback from clinical staff. If these criteria are met, the innovation would be deemed worthy of scaling and broader implementation.</w:t>
      </w:r>
    </w:p>
    <w:p w:rsidR="00804BE8" w:rsidRDefault="00804BE8">
      <w:bookmarkStart w:id="0" w:name="_GoBack"/>
      <w:bookmarkEnd w:id="0"/>
    </w:p>
    <w:sectPr w:rsidR="00804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F506BA"/>
    <w:multiLevelType w:val="multilevel"/>
    <w:tmpl w:val="612A0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83145D"/>
    <w:multiLevelType w:val="multilevel"/>
    <w:tmpl w:val="DAFE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195C93"/>
    <w:multiLevelType w:val="multilevel"/>
    <w:tmpl w:val="9F18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BE8"/>
    <w:rsid w:val="00804BE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C05C72-3A2F-4FE8-9B5A-599502C6B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804B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04BE8"/>
    <w:rPr>
      <w:rFonts w:ascii="Times New Roman" w:eastAsia="Times New Roman" w:hAnsi="Times New Roman" w:cs="Times New Roman"/>
      <w:b/>
      <w:bCs/>
      <w:sz w:val="24"/>
      <w:szCs w:val="24"/>
    </w:rPr>
  </w:style>
  <w:style w:type="character" w:styleId="Strong">
    <w:name w:val="Strong"/>
    <w:basedOn w:val="DefaultParagraphFont"/>
    <w:uiPriority w:val="22"/>
    <w:qFormat/>
    <w:rsid w:val="00804BE8"/>
    <w:rPr>
      <w:b/>
      <w:bCs/>
    </w:rPr>
  </w:style>
  <w:style w:type="paragraph" w:styleId="NormalWeb">
    <w:name w:val="Normal (Web)"/>
    <w:basedOn w:val="Normal"/>
    <w:uiPriority w:val="99"/>
    <w:semiHidden/>
    <w:unhideWhenUsed/>
    <w:rsid w:val="00804B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936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Brooklyn Public Library</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Adult Patron</dc:creator>
  <cp:keywords/>
  <dc:description/>
  <cp:lastModifiedBy>Adult Patron</cp:lastModifiedBy>
  <cp:revision>1</cp:revision>
  <dcterms:created xsi:type="dcterms:W3CDTF">2025-11-06T17:41:00Z</dcterms:created>
  <dcterms:modified xsi:type="dcterms:W3CDTF">2025-11-06T17:42:00Z</dcterms:modified>
</cp:coreProperties>
</file>