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0AEEF" w:val="clear"/>
            <w:tcBorders>
              <w:top w:val="single" w:sz="0" w:space="0" w:color="00AEEF"/>
              <w:left w:val="single" w:sz="0" w:space="0" w:color="00AEEF"/>
              <w:bottom w:val="single" w:sz="0" w:space="0" w:color="00AEEF"/>
              <w:right w:val="single" w:sz="0" w:space="0" w:color="00AEEF"/>
            </w:tcBorders>
            <w:tcMar>
              <w:top w:w="90" w:type="dxa"/>
              <w:left w:w="160" w:type="dxa"/>
              <w:bottom w:w="90" w:type="dxa"/>
              <w:right w:w="16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QTIP  ·  Quality Assurance</w:t>
            </w:r>
          </w:p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Sales Interaction QA Scorecard</w:t>
            </w:r>
          </w:p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>Account Executive guide  ·  Form version 11  ·  What you are graded on</w:t>
            </w:r>
          </w:p>
        </w:tc>
      </w:tr>
    </w:tbl>
    <w:p>
      <w:pPr>
        <w:spacing w:before="160" w:after="120" w:line="230" w:lineRule="auto"/>
      </w:pPr>
      <w:r>
        <w:rPr>
          <w:rFonts w:ascii="Calibri" w:hAnsi="Calibri" w:eastAsia="Calibri"/>
          <w:b w:val="0"/>
          <w:i w:val="0"/>
          <w:color w:val="666666"/>
          <w:sz w:val="22"/>
        </w:rPr>
        <w:t>This is the live Sales Interaction QA form, written for the sales team. Use it as a checklist before, during, and after every interaction so you know exactly what Quality reviews. Only applicable questions count toward your score.</w:t>
      </w:r>
    </w:p>
    <w:p>
      <w:pPr>
        <w:spacing w:before="240" w:after="4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8"/>
        </w:rPr>
        <w:t>How you are scored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Yes / No.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Each scored question is Yes or No. Yes earns the point; No does not.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N/A.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If a question does not apply, it is removed from both earned and possible points. It does not hurt your score.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Applicability gates.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A Yes/No at the top of some sections only decides whether that section is graded. Gates are not worth points.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Only applicable sections count.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Hidden or not-applicable sections drop out of the total. You are scored on what applied to that interaction.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Critical questions.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A No on any critical question caps the entire audit at 79%, even if everything else is perfect.</w:t>
      </w:r>
    </w:p>
    <w:p>
      <w:pPr>
        <w:spacing w:before="0" w:after="40" w:line="230" w:lineRule="auto"/>
        <w:ind w:left="288" w:hanging="216"/>
      </w:pPr>
      <w:r>
        <w:rPr>
          <w:rFonts w:ascii="Calibri" w:hAnsi="Calibri" w:eastAsia="Calibri"/>
          <w:b/>
          <w:i w:val="0"/>
          <w:color w:val="000000"/>
          <w:sz w:val="22"/>
        </w:rPr>
        <w:t>•  Contact vs. no contact.</w:t>
      </w:r>
      <w:r>
        <w:rPr>
          <w:rFonts w:ascii="Calibri" w:hAnsi="Calibri" w:eastAsia="Calibri"/>
          <w:b w:val="0"/>
          <w:i w:val="0"/>
          <w:color w:val="666666"/>
          <w:sz w:val="22"/>
        </w:rPr>
        <w:t xml:space="preserve"> Contact-made sections score only after actual customer contact. No-contact sections score only when you did not reach them.</w:t>
      </w:r>
    </w:p>
    <w:p>
      <w:pPr>
        <w:spacing w:before="160" w:after="120" w:line="230" w:lineRule="auto"/>
        <w:keepNext/>
        <w:pBdr>
          <w:bottom w:val="single" w:sz="12" w:space="4" w:color="E74C3C"/>
        </w:pBdr>
      </w:pPr>
      <w:r>
        <w:rPr>
          <w:rFonts w:ascii="Calibri" w:hAnsi="Calibri" w:eastAsia="Calibri"/>
          <w:b/>
          <w:i w:val="0"/>
          <w:color w:val="000000"/>
          <w:sz w:val="28"/>
        </w:rPr>
        <w:t>Critical items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800"/>
      </w:tblGrid>
      <w:tr>
        <w:tc>
          <w:tcPr>
            <w:tcW w:type="dxa" w:w="10800"/>
            <w:shd w:fill="FDECEA" w:val="clear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80" w:line="230" w:lineRule="auto"/>
            </w:pPr>
            <w:r/>
            <w:r>
              <w:rPr>
                <w:rFonts w:ascii="Calibri" w:hAnsi="Calibri" w:eastAsia="Calibri"/>
                <w:b/>
                <w:i w:val="0"/>
                <w:color w:val="E74C3C"/>
                <w:sz w:val="22"/>
              </w:rPr>
              <w:t>Critical items  —  a No on any of these caps the entire audit at 79%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Avoid steering the customer toward email-only contact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Make a genuine attempt to reach the contact (no-contact calls)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Complete account research before engaging (or correctly skip under the Corporate Non-Franchise exception)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Offer or discuss the warranty when it applies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Pursue relevant upsells (zones, messaging, equipment, installs, locations, players)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Create a lead when warranted — even if it is lost on the same interaction</w:t>
            </w:r>
          </w:p>
          <w:p>
            <w:pPr>
              <w:spacing w:before="0" w:after="20" w:line="23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 •  Document the interaction in the CRM</w:t>
            </w:r>
          </w:p>
        </w:tc>
      </w:tr>
    </w:tbl>
    <w:p>
      <w:pPr>
        <w:spacing w:before="240" w:after="4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8"/>
        </w:rPr>
        <w:t>Category weights</w:t>
      </w:r>
    </w:p>
    <w:p>
      <w:pPr>
        <w:spacing w:before="4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Heavier categories matter more when they apply. Discovery and no-contact attempts are the largest scoring areas.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600"/>
        <w:gridCol w:w="3600"/>
        <w:gridCol w:w="3600"/>
      </w:tblGrid>
      <w:tr>
        <w:trPr>
          <w:cantSplit/>
          <w:tblHeader/>
        </w:trPr>
        <w:tc>
          <w:tcPr>
            <w:tcW w:type="dxa" w:w="5184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584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403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When it is scored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Calling Standards &amp; Approach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6%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Every interaction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Contact Attempt — No Contact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12%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No contact / voicemail only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Script &amp; Call Flow Adherence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7%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Discovery &amp; Needs Assessment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12%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made, when discovery is required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Account Research &amp; Lead Generation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10%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When research is required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Expansion Opportunity Identification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8%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Multi-location / franchise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Product &amp; Service Knowledge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8%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made, when product knowledge is required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Objection Handling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6%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made, if objections are raised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Warranty &amp; Upsell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6%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made, when warranty/upsell applies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Sales Process &amp; Proposal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6%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Contact made, when a quote is in scope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Follow-Up Cadence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6%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Existing lead / opportunity in progress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Lead Management &amp; Entry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7%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When lead entry or management applies</w:t>
            </w:r>
          </w:p>
        </w:tc>
      </w:tr>
      <w:tr>
        <w:trPr>
          <w:cantSplit/>
        </w:trPr>
        <w:tc>
          <w:tcPr>
            <w:tcW w:type="dxa" w:w="51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CRM Documentation &amp; Note Policy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5%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Every interaction</w:t>
            </w:r>
          </w:p>
        </w:tc>
      </w:tr>
      <w:tr>
        <w:trPr>
          <w:cantSplit/>
        </w:trPr>
        <w:tc>
          <w:tcPr>
            <w:tcW w:type="dxa" w:w="51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Work-from-Home Compliance</w:t>
            </w:r>
          </w:p>
        </w:tc>
        <w:tc>
          <w:tcPr>
            <w:tcW w:type="dxa" w:w="1584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1%</w:t>
            </w:r>
          </w:p>
        </w:tc>
        <w:tc>
          <w:tcPr>
            <w:tcW w:type="dxa" w:w="403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Every interaction</w:t>
            </w:r>
          </w:p>
        </w:tc>
      </w:tr>
    </w:tbl>
    <w:p>
      <w:pPr>
        <w:spacing w:before="80" w:after="80" w:line="230" w:lineRule="auto"/>
      </w:pPr>
      <w:r>
        <w:rPr>
          <w:rFonts w:ascii="Calibri" w:hAnsi="Calibri" w:eastAsia="Calibri"/>
          <w:b w:val="0"/>
          <w:i/>
          <w:color w:val="666666"/>
          <w:sz w:val="18"/>
        </w:rPr>
        <w:t>Weights add to 100% of the applicable score. A category that does not apply is dropped — it does not score as zero.</w:t>
      </w:r>
    </w:p>
    <w:p>
      <w:pPr>
        <w:spacing w:before="200" w:after="4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8"/>
        </w:rPr>
        <w:t>How to read the questions</w:t>
      </w:r>
    </w:p>
    <w:p>
      <w:pPr>
        <w:spacing w:before="0" w:after="160" w:line="230" w:lineRule="auto"/>
      </w:pPr>
      <w:r>
        <w:rPr>
          <w:rFonts w:ascii="Calibri" w:hAnsi="Calibri" w:eastAsia="Calibri"/>
          <w:b w:val="0"/>
          <w:i w:val="0"/>
          <w:color w:val="666666"/>
          <w:sz w:val="20"/>
        </w:rPr>
        <w:t>Rows shaded red are critical. Rows shaded blue are applicability gates — they decide whether the rest of that section is scored. A dash (—) in N/A means the question must be answered Yes or No when the section applies.</w:t>
      </w:r>
    </w:p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Calling Standards &amp; Approach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6%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These items apply on every audited interaction.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call placed within the customer’s local calling hours (9 a.m.–5 p.m. local)?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call before emailing (call-first)?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avoid steering the customer toward email-only contact?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Contact Attempt — No Contact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NO CONTACT / VOICEMAIL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12%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only when Interaction Type is No Contact / Voicemail. A connected phone record alone does not count as contact.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make a genuine attempt to reach the contact?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leave a voicemail when the option was available?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voicemail follow the approved script?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Script &amp; Call Flow Adherence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7%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only when contact was made. Use the correct flow for the interaction (inbound, outbound, Contact Manager, retention, expansion, audio, endorsed, and so on).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follow the correct call flow for this interaction?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maintain control and direction of the call?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Discovery &amp; Needs Assessment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12%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discovery is required (typically a first conversation or needs assessment — not a brief follow-up where discovery was already completed).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discovery required for this interaction?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ask the required opening question (number of locations and current music source)?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identify why the customer wants a new music solution?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clarify whether the contact is a franchisee or corporate?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present the sound-system upsell talk track?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ask for the customer’s feedback after addressing their needs?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Account Research &amp; Lead Generation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 WHEN APPLICABLE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10%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account research is required (for example, first engagement). Corporate non-franchise accounts may skip research when that exception applies.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account research required for this interaction (e.g., first engagement)?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Was account research completed before engaging (or correctly skipped under the Corporate Non-Franchise exception)?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log the complete ChatGPT research prompt findings and enter them in the task notes?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For franchise accounts, was research focused on the franchisee (current and other brands)?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Expansion Opportunity Identification &amp; Routing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 WHEN APPLICABLE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8%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an expansion review applies (multi-location or franchise brand). Distinguish total brand sites, sites already in CRM, and net-new sites. Attempt to identify the expansion contact; if unsold sites remain, create a new lead for them.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an expansion review applicable (multi-location or franchise brand)?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identify the brand’s total locations vs. those already in CRM (net-new)?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Were the identified net-new locations documented?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attempt to identify and document the expansion contact?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net-new opportunity routed correctly by size (20+ to management review; under 20 pursued by the AE)?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6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a lead created with the correct status for the new opportunity?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7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If not all sites were included in the original sale, was a new lead created for any unsold net-new sites?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Product &amp; Service Knowledge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8%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product or service knowledge is required. Use approved product facts only — do not promise that a customer can never be sued, and do not invent licensing coverage.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product or service knowledge required for this interaction?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describe product and service features and compatibility accurately?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explain licensing requirements accurately?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recommend the appropriate equipment and service?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use research or supervisor support when needed?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Objection Handling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6%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the customer raises an objection or hesitation. Acknowledge, respond, and pivot (ARP). Seek first when the real concern is unclear.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Were any objections or hesitations raised?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acknowledge and address ALL the customer’s objections?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attempt to overcome ALL objections rather than concede or defer?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Warranty &amp; Upsell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6%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warranty or upsell is applicable. Warranty and other upsells are graded separately — offering warranty that the buyer declines is not a miss on upsell.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warranty or upsell applicable on this interaction?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offer or discuss the warranty when applicable?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present the warranty using the three-problems / three-solutions framework?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pursue relevant upsells (zones, messaging, equipment, installs, locations, players)?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Sales Process &amp; Proposal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CONTACT MADE ONLY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6%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a quote or proposal is in scope. Same-call close means a suitable attempt, not a guaranteed conversion. Audio quotes follow the audio exception.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a quote or proposal in scope for this interaction?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generate and send a quote/proposal when required?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For non-audio quotes, did the AE attempt to send the proposal and close on the call?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Follow-Up Cadence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 WHEN APPLICABLE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6%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follow-up cadence applies (an existing lead or opportunity in progress). Use the cadence for that lead source and stage, including customer-agreed dates.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follow-up cadence applicable (an existing lead / opportunity in progress)?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follow the required follow-up cadence?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follow-up emails reference the call attempt (call-first)?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Did the AE set a clear expectation for the next contact with the customer?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Lead Management &amp; Entry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 WHEN APPLICABLE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7%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Scored when lead entry or management applies. Create the lead even if it is lost on the same interaction.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Applicability gate — Was lead entry or management applicable to this interaction?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E8F7FC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666666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create a lead when warranted (even if lost on the same interaction)?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site-count tier handled correctly (1–9 standard, 10–49 tiered, 50+ referred to management)?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4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lead status set accurately per the Knowledge Base?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5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lead contacted within one business day, or escalated to the Sales Manager?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CRM Documentation &amp; Note Policy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5%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These items apply on every audited interaction. Notes must cover the attempt, objections, warranty, upsells, outcomes, next steps, and NDC (Next Contact Date).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CRITICAL  ·  Did the AE document the interaction in the CRM?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DECE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2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it documented in the correct area (ticket vs. task)?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3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Do the notes meet the Knowledge Base requirements (attempt, objections, warranty, upsells, outcomes, next steps, NDC)?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00" w:after="60" w:line="230" w:lineRule="auto"/>
        <w:keepNext/>
        <w:pBdr>
          <w:bottom w:val="single" w:sz="12" w:space="4" w:color="00AEEF"/>
        </w:pBdr>
      </w:pPr>
      <w:r>
        <w:rPr>
          <w:rFonts w:ascii="Calibri" w:hAnsi="Calibri" w:eastAsia="Calibri"/>
          <w:b/>
          <w:i w:val="0"/>
          <w:color w:val="000000"/>
          <w:sz w:val="26"/>
        </w:rPr>
        <w:t>Work-from-Home Compliance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7632"/>
            <w:shd w:fill="E8F7FC" w:val="clear"/>
            <w:tcBorders>
              <w:top w:val="single" w:sz="4" w:space="0" w:color="B8E7F6"/>
              <w:left w:val="single" w:sz="4" w:space="0" w:color="B8E7F6"/>
              <w:bottom w:val="single" w:sz="4" w:space="0" w:color="B8E7F6"/>
              <w:right w:val="single" w:sz="4" w:space="0" w:color="B8E7F6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00AEEF"/>
                <w:sz w:val="16"/>
              </w:rPr>
              <w:t>ALWAYS SCORED</w:t>
            </w:r>
          </w:p>
        </w:tc>
        <w:tc>
          <w:tcPr>
            <w:tcW w:type="dxa" w:w="3168"/>
            <w:shd w:fill="F5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6"/>
              </w:rPr>
              <w:t>Category weight  1%</w:t>
            </w:r>
          </w:p>
        </w:tc>
      </w:tr>
    </w:tbl>
    <w:p>
      <w:pPr>
        <w:spacing w:before="80" w:after="120" w:line="230" w:lineRule="auto"/>
        <w:keepNext/>
      </w:pPr>
      <w:r>
        <w:rPr>
          <w:rFonts w:ascii="Calibri" w:hAnsi="Calibri" w:eastAsia="Calibri"/>
          <w:b w:val="0"/>
          <w:i/>
          <w:color w:val="666666"/>
          <w:sz w:val="20"/>
        </w:rPr>
        <w:t>Applies on every audited interaction when Work-from-Home evidence is available.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576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55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QA looks for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1080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fill="00AEEF" w:val="clear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8"/>
              </w:rPr>
              <w:t>1</w:t>
            </w:r>
          </w:p>
        </w:tc>
        <w:tc>
          <w:tcPr>
            <w:tcW w:type="dxa" w:w="6552"/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30" w:lineRule="auto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Was the Work-from-Home policy followed?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080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1512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  <w:tcMar>
              <w:top w:w="32" w:type="dxa"/>
              <w:left w:w="80" w:type="dxa"/>
              <w:bottom w:w="32" w:type="dxa"/>
              <w:right w:w="80" w:type="dxa"/>
            </w:tcMar>
          </w:tcPr>
          <w:p>
            <w:pPr>
              <w:spacing w:before="0" w:after="0" w:line="230" w:lineRule="auto"/>
              <w:jc w:val="center"/>
              <w:keepNext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before="240" w:after="0" w:line="230" w:lineRule="auto"/>
      </w:pPr>
      <w:r>
        <w:rPr>
          <w:rFonts w:ascii="Calibri" w:hAnsi="Calibri" w:eastAsia="Calibri"/>
          <w:b w:val="0"/>
          <w:i/>
          <w:color w:val="666666"/>
          <w:sz w:val="20"/>
        </w:rPr>
        <w:t>Questions about how an item is interpreted should go to your Sales Manager or Sales QA. This guide matches Sales Interaction QA version 11.</w:t>
      </w:r>
    </w:p>
    <w:sectPr w:rsidR="00FC693F" w:rsidRPr="0006063C" w:rsidSect="00034616">
      <w:footerReference w:type="default" r:id="rId9"/>
      <w:pgSz w:w="12240" w:h="15840"/>
      <w:pgMar w:top="720" w:right="720" w:bottom="936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30" w:lineRule="auto"/>
      <w:jc w:val="left"/>
    </w:pPr>
    <w:r>
      <w:rPr>
        <w:rFonts w:ascii="Calibri" w:hAnsi="Calibri" w:eastAsia="Calibri"/>
        <w:b w:val="0"/>
        <w:i w:val="0"/>
        <w:color w:val="666666"/>
        <w:sz w:val="16"/>
      </w:rPr>
      <w:t>Sales Interaction QA  ·  Version 11  ·  Account Executive scoring guide  ·  Internal use</w:t>
    </w:r>
    <w:r>
      <w:rPr>
        <w:rFonts w:ascii="Calibri" w:hAnsi="Calibri" w:eastAsia="Calibri"/>
        <w:b w:val="0"/>
        <w:i w:val="0"/>
        <w:color w:val="000000"/>
        <w:sz w:val="16"/>
      </w:rPr>
      <w:tab/>
    </w:r>
    <w:r>
      <w:rPr>
        <w:rFonts w:ascii="Calibri" w:hAnsi="Calibri" w:eastAsia="Calibri"/>
        <w:b w:val="0"/>
        <w:i w:val="0"/>
        <w:color w:val="666666"/>
        <w:sz w:val="16"/>
      </w:rPr>
      <w:t xml:space="preserve">Page </w:t>
    </w:r>
    <w:r>
      <w:rPr>
        <w:rFonts w:ascii="Calibri" w:hAnsi="Calibri" w:eastAsia="Calibri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666666"/>
        <w:sz w:val="16"/>
      </w:rPr>
      <w:t xml:space="preserve"> of </w:t>
    </w:r>
    <w:r>
      <w:rPr>
        <w:rFonts w:ascii="Calibri" w:hAnsi="Calibri" w:eastAsia="Calibri"/>
        <w:b w:val="0"/>
        <w:i w:val="0"/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6666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