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AE328" w14:textId="0DA286AE" w:rsidR="00992827" w:rsidRDefault="00992827">
      <w:pPr>
        <w:spacing w:before="1800"/>
      </w:pPr>
    </w:p>
    <w:p w14:paraId="0BB939B8" w14:textId="2F157297" w:rsidR="00992827" w:rsidRPr="006C05DD" w:rsidRDefault="006C05DD">
      <w:pPr>
        <w:spacing w:after="80"/>
        <w:rPr>
          <w:lang w:val="es-ES"/>
        </w:rPr>
      </w:pPr>
      <w:r>
        <w:rPr>
          <w:noProof/>
          <w:color w:val="0A0A0A"/>
          <w:sz w:val="72"/>
          <w:szCs w:val="72"/>
          <w:lang w:val="es-ES"/>
        </w:rPr>
        <w:drawing>
          <wp:anchor distT="0" distB="0" distL="114300" distR="114300" simplePos="0" relativeHeight="251658240" behindDoc="0" locked="0" layoutInCell="1" allowOverlap="1" wp14:anchorId="69113E7D" wp14:editId="25D5D9CD">
            <wp:simplePos x="0" y="0"/>
            <wp:positionH relativeFrom="column">
              <wp:posOffset>4606681</wp:posOffset>
            </wp:positionH>
            <wp:positionV relativeFrom="paragraph">
              <wp:posOffset>2393</wp:posOffset>
            </wp:positionV>
            <wp:extent cx="1111250" cy="699770"/>
            <wp:effectExtent l="0" t="0" r="0" b="5080"/>
            <wp:wrapSquare wrapText="bothSides"/>
            <wp:docPr id="145141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11250" cy="699770"/>
                    </a:xfrm>
                    <a:prstGeom prst="rect">
                      <a:avLst/>
                    </a:prstGeom>
                    <a:noFill/>
                  </pic:spPr>
                </pic:pic>
              </a:graphicData>
            </a:graphic>
            <wp14:sizeRelH relativeFrom="page">
              <wp14:pctWidth>0</wp14:pctWidth>
            </wp14:sizeRelH>
            <wp14:sizeRelV relativeFrom="page">
              <wp14:pctHeight>0</wp14:pctHeight>
            </wp14:sizeRelV>
          </wp:anchor>
        </w:drawing>
      </w:r>
      <w:r w:rsidR="00000000" w:rsidRPr="006C05DD">
        <w:rPr>
          <w:b/>
          <w:bCs/>
          <w:color w:val="5C3A20"/>
          <w:spacing w:val="40"/>
          <w:sz w:val="18"/>
          <w:szCs w:val="18"/>
          <w:lang w:val="es-ES"/>
        </w:rPr>
        <w:t>PROPUESTA DE IMPLEMENTACIÓN</w:t>
      </w:r>
    </w:p>
    <w:p w14:paraId="5BE8068F" w14:textId="5EF88AFC" w:rsidR="00992827" w:rsidRPr="006C05DD" w:rsidRDefault="00000000">
      <w:pPr>
        <w:spacing w:after="120"/>
        <w:rPr>
          <w:lang w:val="es-ES"/>
        </w:rPr>
      </w:pPr>
      <w:r w:rsidRPr="006C05DD">
        <w:rPr>
          <w:color w:val="0A0A0A"/>
          <w:sz w:val="72"/>
          <w:szCs w:val="72"/>
          <w:lang w:val="es-ES"/>
        </w:rPr>
        <w:t>The RIVA Company</w:t>
      </w:r>
    </w:p>
    <w:p w14:paraId="6F50770F" w14:textId="2FA6350B" w:rsidR="00992827" w:rsidRPr="006C05DD" w:rsidRDefault="00000000">
      <w:pPr>
        <w:spacing w:after="1400"/>
        <w:rPr>
          <w:lang w:val="es-ES"/>
        </w:rPr>
      </w:pPr>
      <w:r w:rsidRPr="006C05DD">
        <w:rPr>
          <w:sz w:val="26"/>
          <w:szCs w:val="26"/>
          <w:lang w:val="es-ES"/>
        </w:rPr>
        <w:t xml:space="preserve">Hub, CRM y automatizaciones — </w:t>
      </w:r>
      <w:r w:rsidR="006C05DD">
        <w:rPr>
          <w:sz w:val="26"/>
          <w:szCs w:val="26"/>
          <w:lang w:val="es-ES"/>
        </w:rPr>
        <w:t>Mayo 2026</w:t>
      </w:r>
    </w:p>
    <w:p w14:paraId="7CF475DA" w14:textId="77777777" w:rsidR="00992827" w:rsidRPr="006C05DD" w:rsidRDefault="00992827">
      <w:pPr>
        <w:pBdr>
          <w:bottom w:val="single" w:sz="6" w:space="1" w:color="5C3A20"/>
        </w:pBdr>
        <w:spacing w:before="200" w:after="200"/>
        <w:rPr>
          <w:lang w:val="es-ES"/>
        </w:rPr>
      </w:pPr>
    </w:p>
    <w:p w14:paraId="495A32B1" w14:textId="1BF469F3" w:rsidR="00992827" w:rsidRPr="006C05DD" w:rsidRDefault="00000000">
      <w:pPr>
        <w:tabs>
          <w:tab w:val="right" w:pos="9026"/>
        </w:tabs>
        <w:spacing w:before="200" w:after="60"/>
        <w:rPr>
          <w:lang w:val="es-ES"/>
        </w:rPr>
      </w:pPr>
      <w:r w:rsidRPr="006C05DD">
        <w:rPr>
          <w:b/>
          <w:bCs/>
          <w:color w:val="8C8780"/>
          <w:spacing w:val="30"/>
          <w:sz w:val="18"/>
          <w:szCs w:val="18"/>
          <w:lang w:val="es-ES"/>
        </w:rPr>
        <w:t>Preparado para</w:t>
      </w:r>
      <w:r w:rsidRPr="006C05DD">
        <w:rPr>
          <w:color w:val="8C8780"/>
          <w:spacing w:val="30"/>
          <w:sz w:val="18"/>
          <w:szCs w:val="18"/>
          <w:lang w:val="es-ES"/>
        </w:rPr>
        <w:tab/>
      </w:r>
      <w:r w:rsidR="006C05DD" w:rsidRPr="006C05DD">
        <w:rPr>
          <w:b/>
          <w:bCs/>
          <w:color w:val="8C8780"/>
          <w:spacing w:val="30"/>
          <w:sz w:val="18"/>
          <w:szCs w:val="18"/>
          <w:lang w:val="es-ES"/>
        </w:rPr>
        <w:t>Preparado p</w:t>
      </w:r>
      <w:r w:rsidR="006C05DD">
        <w:rPr>
          <w:b/>
          <w:bCs/>
          <w:color w:val="8C8780"/>
          <w:spacing w:val="30"/>
          <w:sz w:val="18"/>
          <w:szCs w:val="18"/>
          <w:lang w:val="es-ES"/>
        </w:rPr>
        <w:t>or</w:t>
      </w:r>
    </w:p>
    <w:p w14:paraId="24578BF1" w14:textId="234B20B6" w:rsidR="00992827" w:rsidRPr="006C05DD" w:rsidRDefault="00000000">
      <w:pPr>
        <w:tabs>
          <w:tab w:val="right" w:pos="9026"/>
        </w:tabs>
        <w:spacing w:after="200"/>
      </w:pPr>
      <w:r w:rsidRPr="006C05DD">
        <w:rPr>
          <w:b/>
          <w:bCs/>
          <w:color w:val="1A1A1A"/>
          <w:sz w:val="24"/>
          <w:szCs w:val="24"/>
        </w:rPr>
        <w:t>The RIVA Company</w:t>
      </w:r>
      <w:r w:rsidRPr="006C05DD">
        <w:rPr>
          <w:b/>
          <w:bCs/>
          <w:color w:val="1A1A1A"/>
          <w:sz w:val="24"/>
          <w:szCs w:val="24"/>
        </w:rPr>
        <w:tab/>
        <w:t>Viddix AI</w:t>
      </w:r>
    </w:p>
    <w:p w14:paraId="4DA055A5" w14:textId="77777777" w:rsidR="00992827" w:rsidRPr="006C05DD" w:rsidRDefault="00992827">
      <w:pPr>
        <w:spacing w:before="6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992827" w:rsidRPr="006C05DD" w14:paraId="1DE78E17" w14:textId="77777777">
        <w:tblPrEx>
          <w:tblCellMar>
            <w:top w:w="0" w:type="dxa"/>
            <w:bottom w:w="0" w:type="dxa"/>
          </w:tblCellMar>
        </w:tblPrEx>
        <w:trPr>
          <w:trHeight w:hRule="exact" w:val="140"/>
        </w:trPr>
        <w:tc>
          <w:tcPr>
            <w:tcW w:w="3008" w:type="dxa"/>
            <w:shd w:val="clear" w:color="auto" w:fill="5C3A20"/>
          </w:tcPr>
          <w:p w14:paraId="1B028485" w14:textId="77777777" w:rsidR="00992827" w:rsidRPr="006C05DD" w:rsidRDefault="00992827"/>
        </w:tc>
        <w:tc>
          <w:tcPr>
            <w:tcW w:w="3009" w:type="dxa"/>
            <w:shd w:val="clear" w:color="auto" w:fill="B08A5C"/>
          </w:tcPr>
          <w:p w14:paraId="4AA2932B" w14:textId="77777777" w:rsidR="00992827" w:rsidRPr="006C05DD" w:rsidRDefault="00992827"/>
        </w:tc>
        <w:tc>
          <w:tcPr>
            <w:tcW w:w="3009" w:type="dxa"/>
            <w:shd w:val="clear" w:color="auto" w:fill="9AA08A"/>
          </w:tcPr>
          <w:p w14:paraId="59F4C2F1" w14:textId="77777777" w:rsidR="00992827" w:rsidRPr="006C05DD" w:rsidRDefault="00992827"/>
        </w:tc>
      </w:tr>
    </w:tbl>
    <w:p w14:paraId="5742C978" w14:textId="77777777" w:rsidR="00992827" w:rsidRPr="006C05DD" w:rsidRDefault="00000000">
      <w:r w:rsidRPr="006C05DD">
        <w:br w:type="page"/>
      </w:r>
    </w:p>
    <w:p w14:paraId="3837D484" w14:textId="77777777" w:rsidR="00992827" w:rsidRPr="006C05DD" w:rsidRDefault="00000000">
      <w:pPr>
        <w:spacing w:before="200" w:after="80"/>
        <w:rPr>
          <w:lang w:val="es-ES"/>
        </w:rPr>
      </w:pPr>
      <w:r w:rsidRPr="006C05DD">
        <w:rPr>
          <w:b/>
          <w:bCs/>
          <w:color w:val="5C3A20"/>
          <w:spacing w:val="30"/>
          <w:sz w:val="16"/>
          <w:szCs w:val="16"/>
          <w:lang w:val="es-ES"/>
        </w:rPr>
        <w:lastRenderedPageBreak/>
        <w:t>1 · RESUMEN EJECUTIVO</w:t>
      </w:r>
    </w:p>
    <w:p w14:paraId="50E09036" w14:textId="77777777" w:rsidR="00992827" w:rsidRPr="006C05DD" w:rsidRDefault="00000000">
      <w:pPr>
        <w:pStyle w:val="Heading1"/>
        <w:spacing w:before="160" w:after="240"/>
        <w:rPr>
          <w:lang w:val="es-ES"/>
        </w:rPr>
      </w:pPr>
      <w:r w:rsidRPr="006C05DD">
        <w:rPr>
          <w:lang w:val="es-ES"/>
        </w:rPr>
        <w:t>Una plataforma operativa única para The RIVA Company</w:t>
      </w:r>
    </w:p>
    <w:p w14:paraId="520953AA" w14:textId="77777777" w:rsidR="00992827" w:rsidRPr="006C05DD" w:rsidRDefault="00000000">
      <w:pPr>
        <w:spacing w:after="160" w:line="320" w:lineRule="auto"/>
        <w:jc w:val="both"/>
        <w:rPr>
          <w:lang w:val="es-ES"/>
        </w:rPr>
      </w:pPr>
      <w:r w:rsidRPr="006C05DD">
        <w:rPr>
          <w:lang w:val="es-ES"/>
        </w:rPr>
        <w:t>Esta propuesta describe la implementación de una plataforma operativa única para The RIVA Company: un Hub central que consolida la actividad de los siete departamentos y de los dos brands — RIVA Spain y TIERRA —, un CRM propio desarrollado sobre el Hub, y un sistema de automatizaciones cross-departamentales conectadas a QuickBooks, Stripe, Square y al resto del stack actual.</w:t>
      </w:r>
    </w:p>
    <w:p w14:paraId="4ADB77C0" w14:textId="77777777" w:rsidR="00992827" w:rsidRPr="006C05DD" w:rsidRDefault="00000000">
      <w:pPr>
        <w:spacing w:after="160" w:line="320" w:lineRule="auto"/>
        <w:jc w:val="both"/>
        <w:rPr>
          <w:lang w:val="es-ES"/>
        </w:rPr>
      </w:pPr>
      <w:r w:rsidRPr="006C05DD">
        <w:rPr>
          <w:lang w:val="es-ES"/>
        </w:rPr>
        <w:t>La implementación se ejecuta en ocho fases consecutivas. Cada fase entrega un departamento completo: operativa funcional, automatizaciones, formación al equipo del departamento y soporte post-lanzamiento. La fase final consolida la vista del holding. El programa completo se entrega en 15 meses.</w:t>
      </w:r>
    </w:p>
    <w:p w14:paraId="608DD62B" w14:textId="77777777" w:rsidR="00992827" w:rsidRPr="006C05DD" w:rsidRDefault="00000000">
      <w:pPr>
        <w:spacing w:after="160" w:line="320" w:lineRule="auto"/>
        <w:jc w:val="both"/>
        <w:rPr>
          <w:lang w:val="es-ES"/>
        </w:rPr>
      </w:pPr>
      <w:r w:rsidRPr="006C05DD">
        <w:rPr>
          <w:lang w:val="es-ES"/>
        </w:rPr>
        <w:t>Cada entregable es inmediatamente utilizable por el departamento correspondiente al cierre de su fase. La adopción forma parte del entregable: el equipo de RIVA opera de manera autónoma desde la primera semana posterior al go-live.</w:t>
      </w:r>
    </w:p>
    <w:p w14:paraId="3C5E0C28" w14:textId="77777777" w:rsidR="00992827" w:rsidRPr="006C05DD" w:rsidRDefault="00000000">
      <w:pPr>
        <w:spacing w:before="200" w:after="80"/>
        <w:rPr>
          <w:lang w:val="es-ES"/>
        </w:rPr>
      </w:pPr>
      <w:r w:rsidRPr="006C05DD">
        <w:rPr>
          <w:b/>
          <w:bCs/>
          <w:color w:val="B08A5C"/>
          <w:spacing w:val="30"/>
          <w:sz w:val="16"/>
          <w:szCs w:val="16"/>
          <w:lang w:val="es-ES"/>
        </w:rPr>
        <w:t>2 · ALCANCE</w:t>
      </w:r>
    </w:p>
    <w:p w14:paraId="7F0540E1" w14:textId="77777777" w:rsidR="00992827" w:rsidRPr="006C05DD" w:rsidRDefault="00000000">
      <w:pPr>
        <w:pStyle w:val="Heading1"/>
        <w:spacing w:before="160" w:after="240"/>
        <w:rPr>
          <w:lang w:val="es-ES"/>
        </w:rPr>
      </w:pPr>
      <w:r w:rsidRPr="006C05DD">
        <w:rPr>
          <w:lang w:val="es-ES"/>
        </w:rPr>
        <w:t>Qué entrega el programa</w:t>
      </w:r>
    </w:p>
    <w:p w14:paraId="0796FC97" w14:textId="77777777" w:rsidR="00992827" w:rsidRPr="006C05DD" w:rsidRDefault="00000000">
      <w:pPr>
        <w:pStyle w:val="Heading3"/>
        <w:rPr>
          <w:lang w:val="es-ES"/>
        </w:rPr>
      </w:pPr>
      <w:r w:rsidRPr="006C05DD">
        <w:rPr>
          <w:lang w:val="es-ES"/>
        </w:rPr>
        <w:t>Incluido</w:t>
      </w:r>
    </w:p>
    <w:p w14:paraId="4664E247" w14:textId="77777777" w:rsidR="00992827" w:rsidRPr="006C05DD" w:rsidRDefault="00000000">
      <w:pPr>
        <w:pStyle w:val="ListParagraph"/>
        <w:numPr>
          <w:ilvl w:val="0"/>
          <w:numId w:val="2"/>
        </w:numPr>
        <w:spacing w:after="100" w:line="300" w:lineRule="auto"/>
        <w:rPr>
          <w:lang w:val="es-ES"/>
        </w:rPr>
      </w:pPr>
      <w:r w:rsidRPr="006C05DD">
        <w:rPr>
          <w:b/>
          <w:bCs/>
          <w:color w:val="5C3A20"/>
          <w:lang w:val="es-ES"/>
        </w:rPr>
        <w:t>Hub central</w:t>
      </w:r>
      <w:r w:rsidRPr="006C05DD">
        <w:rPr>
          <w:lang w:val="es-ES"/>
        </w:rPr>
        <w:t xml:space="preserve"> — navegación unificada por sede (España, USA) y por brand (RIVA Spain, TIERRA, Flagship Miami).</w:t>
      </w:r>
    </w:p>
    <w:p w14:paraId="2749AB31" w14:textId="77777777" w:rsidR="00992827" w:rsidRDefault="00000000">
      <w:pPr>
        <w:pStyle w:val="ListParagraph"/>
        <w:numPr>
          <w:ilvl w:val="0"/>
          <w:numId w:val="2"/>
        </w:numPr>
        <w:spacing w:after="100" w:line="300" w:lineRule="auto"/>
      </w:pPr>
      <w:r>
        <w:rPr>
          <w:b/>
          <w:bCs/>
          <w:color w:val="5C3A20"/>
        </w:rPr>
        <w:t>CRM completo</w:t>
      </w:r>
      <w:r>
        <w:t xml:space="preserve"> — pipelines, deals, contactos, partners, registro de actividad comercial, forecast.</w:t>
      </w:r>
    </w:p>
    <w:p w14:paraId="503931C5" w14:textId="77777777" w:rsidR="00992827" w:rsidRPr="006C05DD" w:rsidRDefault="00000000">
      <w:pPr>
        <w:pStyle w:val="ListParagraph"/>
        <w:numPr>
          <w:ilvl w:val="0"/>
          <w:numId w:val="2"/>
        </w:numPr>
        <w:spacing w:after="100" w:line="300" w:lineRule="auto"/>
        <w:rPr>
          <w:lang w:val="es-ES"/>
        </w:rPr>
      </w:pPr>
      <w:r w:rsidRPr="006C05DD">
        <w:rPr>
          <w:b/>
          <w:bCs/>
          <w:color w:val="5C3A20"/>
          <w:lang w:val="es-ES"/>
        </w:rPr>
        <w:t>Módulo funcional por departamento</w:t>
      </w:r>
      <w:r w:rsidRPr="006C05DD">
        <w:rPr>
          <w:lang w:val="es-ES"/>
        </w:rPr>
        <w:t xml:space="preserve"> — siete módulos operativos más la consolidación del holding.</w:t>
      </w:r>
    </w:p>
    <w:p w14:paraId="3D372A88" w14:textId="77777777" w:rsidR="00992827" w:rsidRPr="006C05DD" w:rsidRDefault="00000000">
      <w:pPr>
        <w:pStyle w:val="ListParagraph"/>
        <w:numPr>
          <w:ilvl w:val="0"/>
          <w:numId w:val="2"/>
        </w:numPr>
        <w:spacing w:after="100" w:line="300" w:lineRule="auto"/>
        <w:rPr>
          <w:lang w:val="es-ES"/>
        </w:rPr>
      </w:pPr>
      <w:r w:rsidRPr="006C05DD">
        <w:rPr>
          <w:b/>
          <w:bCs/>
          <w:color w:val="5C3A20"/>
          <w:lang w:val="es-ES"/>
        </w:rPr>
        <w:t>Catálogo de automatizaciones</w:t>
      </w:r>
      <w:r w:rsidRPr="006C05DD">
        <w:rPr>
          <w:lang w:val="es-ES"/>
        </w:rPr>
        <w:t xml:space="preserve"> — 25 flujos activos al cierre del programa, cubriendo facturación, cobros, registro comercial, instalaciones, stock, postventa y reportes.</w:t>
      </w:r>
    </w:p>
    <w:p w14:paraId="086786B1" w14:textId="77777777" w:rsidR="00992827" w:rsidRDefault="00000000">
      <w:pPr>
        <w:pStyle w:val="ListParagraph"/>
        <w:numPr>
          <w:ilvl w:val="0"/>
          <w:numId w:val="2"/>
        </w:numPr>
        <w:spacing w:after="100" w:line="300" w:lineRule="auto"/>
      </w:pPr>
      <w:r>
        <w:rPr>
          <w:b/>
          <w:bCs/>
          <w:color w:val="5C3A20"/>
        </w:rPr>
        <w:t>Integraciones</w:t>
      </w:r>
      <w:r>
        <w:t xml:space="preserve"> — QuickBooks, Stripe, Square, Google Workspace, Slack, DocuSign, Canva, Email.</w:t>
      </w:r>
    </w:p>
    <w:p w14:paraId="06A6DB44" w14:textId="77777777" w:rsidR="00992827" w:rsidRDefault="00000000">
      <w:pPr>
        <w:pStyle w:val="ListParagraph"/>
        <w:numPr>
          <w:ilvl w:val="0"/>
          <w:numId w:val="2"/>
        </w:numPr>
        <w:spacing w:after="100" w:line="300" w:lineRule="auto"/>
      </w:pPr>
      <w:r w:rsidRPr="006C05DD">
        <w:rPr>
          <w:b/>
          <w:bCs/>
          <w:color w:val="5C3A20"/>
          <w:lang w:val="es-ES"/>
        </w:rPr>
        <w:t>Roles y permisos</w:t>
      </w:r>
      <w:r w:rsidRPr="006C05DD">
        <w:rPr>
          <w:lang w:val="es-ES"/>
        </w:rPr>
        <w:t xml:space="preserve"> — ocho roles diferenciados por departamento, sede y nivel de seniority. </w:t>
      </w:r>
      <w:r>
        <w:t>Editables por administrador.</w:t>
      </w:r>
    </w:p>
    <w:p w14:paraId="4A368490" w14:textId="77777777" w:rsidR="00992827" w:rsidRDefault="00000000">
      <w:pPr>
        <w:pStyle w:val="ListParagraph"/>
        <w:numPr>
          <w:ilvl w:val="0"/>
          <w:numId w:val="2"/>
        </w:numPr>
        <w:spacing w:after="100" w:line="300" w:lineRule="auto"/>
      </w:pPr>
      <w:r>
        <w:rPr>
          <w:b/>
          <w:bCs/>
          <w:color w:val="5C3A20"/>
        </w:rPr>
        <w:t>Infraestructura operativa</w:t>
      </w:r>
      <w:r>
        <w:t xml:space="preserve"> — notificaciones, búsqueda global, audit log, export/import, panel de settings.</w:t>
      </w:r>
    </w:p>
    <w:p w14:paraId="28885F62" w14:textId="77777777" w:rsidR="00992827" w:rsidRPr="006C05DD" w:rsidRDefault="00000000">
      <w:pPr>
        <w:pStyle w:val="ListParagraph"/>
        <w:numPr>
          <w:ilvl w:val="0"/>
          <w:numId w:val="2"/>
        </w:numPr>
        <w:spacing w:after="100" w:line="300" w:lineRule="auto"/>
        <w:rPr>
          <w:lang w:val="es-ES"/>
        </w:rPr>
      </w:pPr>
      <w:r w:rsidRPr="006C05DD">
        <w:rPr>
          <w:b/>
          <w:bCs/>
          <w:color w:val="5C3A20"/>
          <w:lang w:val="es-ES"/>
        </w:rPr>
        <w:t>Formación</w:t>
      </w:r>
      <w:r w:rsidRPr="006C05DD">
        <w:rPr>
          <w:lang w:val="es-ES"/>
        </w:rPr>
        <w:t xml:space="preserve"> — plan estructurado por departamento (ver §5).</w:t>
      </w:r>
    </w:p>
    <w:p w14:paraId="12BFE8A1" w14:textId="77777777" w:rsidR="00992827" w:rsidRPr="006C05DD" w:rsidRDefault="00000000">
      <w:pPr>
        <w:pStyle w:val="ListParagraph"/>
        <w:numPr>
          <w:ilvl w:val="0"/>
          <w:numId w:val="2"/>
        </w:numPr>
        <w:spacing w:after="100" w:line="300" w:lineRule="auto"/>
        <w:rPr>
          <w:lang w:val="es-ES"/>
        </w:rPr>
      </w:pPr>
      <w:r w:rsidRPr="006C05DD">
        <w:rPr>
          <w:b/>
          <w:bCs/>
          <w:color w:val="5C3A20"/>
          <w:lang w:val="es-ES"/>
        </w:rPr>
        <w:t>Soporte</w:t>
      </w:r>
      <w:r w:rsidRPr="006C05DD">
        <w:rPr>
          <w:lang w:val="es-ES"/>
        </w:rPr>
        <w:t xml:space="preserve"> — cuatro semanas de soporte intensivo posterior al cierre de cada fase.</w:t>
      </w:r>
    </w:p>
    <w:p w14:paraId="674C1A8A" w14:textId="77777777" w:rsidR="00992827" w:rsidRPr="006C05DD" w:rsidRDefault="00000000">
      <w:pPr>
        <w:rPr>
          <w:lang w:val="es-ES"/>
        </w:rPr>
      </w:pPr>
      <w:r w:rsidRPr="006C05DD">
        <w:rPr>
          <w:lang w:val="es-ES"/>
        </w:rPr>
        <w:br w:type="page"/>
      </w:r>
    </w:p>
    <w:p w14:paraId="6DA306DB" w14:textId="77777777" w:rsidR="00992827" w:rsidRPr="006C05DD" w:rsidRDefault="00000000">
      <w:pPr>
        <w:spacing w:before="200" w:after="80"/>
        <w:rPr>
          <w:lang w:val="es-ES"/>
        </w:rPr>
      </w:pPr>
      <w:r w:rsidRPr="006C05DD">
        <w:rPr>
          <w:b/>
          <w:bCs/>
          <w:color w:val="9AA08A"/>
          <w:spacing w:val="30"/>
          <w:sz w:val="16"/>
          <w:szCs w:val="16"/>
          <w:lang w:val="es-ES"/>
        </w:rPr>
        <w:t>3 · MODUS OPERANDI</w:t>
      </w:r>
    </w:p>
    <w:p w14:paraId="224B00E3" w14:textId="77777777" w:rsidR="00992827" w:rsidRPr="006C05DD" w:rsidRDefault="00000000">
      <w:pPr>
        <w:pStyle w:val="Heading1"/>
        <w:spacing w:before="160" w:after="240"/>
        <w:rPr>
          <w:lang w:val="es-ES"/>
        </w:rPr>
      </w:pPr>
      <w:r w:rsidRPr="006C05DD">
        <w:rPr>
          <w:lang w:val="es-ES"/>
        </w:rPr>
        <w:t>Cómo trabajamos cada fase</w:t>
      </w:r>
    </w:p>
    <w:p w14:paraId="326DCBB9" w14:textId="77777777" w:rsidR="00992827" w:rsidRPr="006C05DD" w:rsidRDefault="00000000">
      <w:pPr>
        <w:spacing w:after="160" w:line="320" w:lineRule="auto"/>
        <w:jc w:val="both"/>
        <w:rPr>
          <w:lang w:val="es-ES"/>
        </w:rPr>
      </w:pPr>
      <w:r w:rsidRPr="006C05DD">
        <w:rPr>
          <w:lang w:val="es-ES"/>
        </w:rPr>
        <w:t>Cada fase de departamento se ejecuta siguiendo el mismo método de seis etapas. La duración estándar es de ocho semanas de implementación más cuatro semanas de soporte que se solapan con el arranque de la fase siguiente, manteniendo la cadencia de un departamento cada dos meses.</w:t>
      </w:r>
    </w:p>
    <w:p w14:paraId="392D4815" w14:textId="77777777" w:rsidR="00992827" w:rsidRPr="006C05DD" w:rsidRDefault="00000000">
      <w:pPr>
        <w:pStyle w:val="Heading3"/>
        <w:rPr>
          <w:lang w:val="es-ES"/>
        </w:rPr>
      </w:pPr>
      <w:r w:rsidRPr="006C05DD">
        <w:rPr>
          <w:lang w:val="es-ES"/>
        </w:rPr>
        <w:t>3.1  Discovery</w:t>
      </w:r>
    </w:p>
    <w:p w14:paraId="1933193C" w14:textId="77777777" w:rsidR="00992827" w:rsidRPr="006C05DD" w:rsidRDefault="00000000">
      <w:pPr>
        <w:spacing w:after="160" w:line="320" w:lineRule="auto"/>
        <w:jc w:val="both"/>
        <w:rPr>
          <w:lang w:val="es-ES"/>
        </w:rPr>
      </w:pPr>
      <w:r w:rsidRPr="006C05DD">
        <w:rPr>
          <w:lang w:val="es-ES"/>
        </w:rPr>
        <w:t>Entrevistas con el responsable del departamento y dos perfiles operativos. Mapeo del proceso actual, identificación de los flujos a automatizar, validación del catálogo de submódulos. Cierre con documento de alcance firmado por ambas partes.</w:t>
      </w:r>
    </w:p>
    <w:p w14:paraId="585BD0D6" w14:textId="77777777" w:rsidR="00992827" w:rsidRPr="006C05DD" w:rsidRDefault="00000000">
      <w:pPr>
        <w:pStyle w:val="Heading3"/>
        <w:rPr>
          <w:lang w:val="es-ES"/>
        </w:rPr>
      </w:pPr>
      <w:r w:rsidRPr="006C05DD">
        <w:rPr>
          <w:color w:val="B08A5C"/>
          <w:lang w:val="es-ES"/>
        </w:rPr>
        <w:t>3.2  Diseño funcional</w:t>
      </w:r>
    </w:p>
    <w:p w14:paraId="55678ADE" w14:textId="77777777" w:rsidR="00992827" w:rsidRPr="006C05DD" w:rsidRDefault="00000000">
      <w:pPr>
        <w:spacing w:after="160" w:line="320" w:lineRule="auto"/>
        <w:jc w:val="both"/>
        <w:rPr>
          <w:lang w:val="es-ES"/>
        </w:rPr>
      </w:pPr>
      <w:r w:rsidRPr="006C05DD">
        <w:rPr>
          <w:lang w:val="es-ES"/>
        </w:rPr>
        <w:t>Mockups navegables del módulo aplicando el sistema de diseño de RIVA. Una iteración de revisión con el responsable. Cierre con diseño aprobado.</w:t>
      </w:r>
    </w:p>
    <w:p w14:paraId="00473A6C" w14:textId="77777777" w:rsidR="00992827" w:rsidRPr="006C05DD" w:rsidRDefault="00000000">
      <w:pPr>
        <w:pStyle w:val="Heading3"/>
        <w:rPr>
          <w:lang w:val="es-ES"/>
        </w:rPr>
      </w:pPr>
      <w:r w:rsidRPr="006C05DD">
        <w:rPr>
          <w:lang w:val="es-ES"/>
        </w:rPr>
        <w:t>3.3  Implementación</w:t>
      </w:r>
    </w:p>
    <w:p w14:paraId="4798F78F" w14:textId="77777777" w:rsidR="00992827" w:rsidRPr="006C05DD" w:rsidRDefault="00000000">
      <w:pPr>
        <w:spacing w:after="160" w:line="320" w:lineRule="auto"/>
        <w:jc w:val="both"/>
        <w:rPr>
          <w:lang w:val="es-ES"/>
        </w:rPr>
      </w:pPr>
      <w:r w:rsidRPr="006C05DD">
        <w:rPr>
          <w:lang w:val="es-ES"/>
        </w:rPr>
        <w:t>Construcción del módulo, conexión con las integraciones del departamento, configuración de las automatizaciones. Demos semanales al responsable.</w:t>
      </w:r>
    </w:p>
    <w:p w14:paraId="525DF6E0" w14:textId="77777777" w:rsidR="00992827" w:rsidRPr="006C05DD" w:rsidRDefault="00000000">
      <w:pPr>
        <w:pStyle w:val="Heading3"/>
        <w:rPr>
          <w:lang w:val="es-ES"/>
        </w:rPr>
      </w:pPr>
      <w:r w:rsidRPr="006C05DD">
        <w:rPr>
          <w:color w:val="B08A5C"/>
          <w:lang w:val="es-ES"/>
        </w:rPr>
        <w:t>3.4  Testing con datos reales</w:t>
      </w:r>
    </w:p>
    <w:p w14:paraId="79D4D400" w14:textId="77777777" w:rsidR="00992827" w:rsidRPr="006C05DD" w:rsidRDefault="00000000">
      <w:pPr>
        <w:spacing w:after="160" w:line="320" w:lineRule="auto"/>
        <w:jc w:val="both"/>
        <w:rPr>
          <w:lang w:val="es-ES"/>
        </w:rPr>
      </w:pPr>
      <w:r w:rsidRPr="006C05DD">
        <w:rPr>
          <w:lang w:val="es-ES"/>
        </w:rPr>
        <w:t>Carga del último trimestre de datos del departamento, validación de cálculos, ejecución de automatizaciones en entorno paralelo. Ajustes finales.</w:t>
      </w:r>
    </w:p>
    <w:p w14:paraId="74D60207" w14:textId="77777777" w:rsidR="00992827" w:rsidRPr="006C05DD" w:rsidRDefault="00000000">
      <w:pPr>
        <w:pStyle w:val="Heading3"/>
        <w:rPr>
          <w:lang w:val="es-ES"/>
        </w:rPr>
      </w:pPr>
      <w:r w:rsidRPr="006C05DD">
        <w:rPr>
          <w:lang w:val="es-ES"/>
        </w:rPr>
        <w:t>3.5  Onboarding y formación</w:t>
      </w:r>
    </w:p>
    <w:p w14:paraId="5118B476" w14:textId="77777777" w:rsidR="00992827" w:rsidRPr="006C05DD" w:rsidRDefault="00000000">
      <w:pPr>
        <w:spacing w:after="160" w:line="320" w:lineRule="auto"/>
        <w:jc w:val="both"/>
        <w:rPr>
          <w:lang w:val="es-ES"/>
        </w:rPr>
      </w:pPr>
      <w:r w:rsidRPr="006C05DD">
        <w:rPr>
          <w:lang w:val="es-ES"/>
        </w:rPr>
        <w:t>Sesiones de formación al equipo del departamento. Cada miembro realiza al menos un ciclo completo del proceso principal con acompañamiento del equipo de Viddix.</w:t>
      </w:r>
    </w:p>
    <w:p w14:paraId="3BCFFEB1" w14:textId="77777777" w:rsidR="00992827" w:rsidRPr="006C05DD" w:rsidRDefault="00000000">
      <w:pPr>
        <w:pStyle w:val="Heading3"/>
        <w:rPr>
          <w:lang w:val="es-ES"/>
        </w:rPr>
      </w:pPr>
      <w:r w:rsidRPr="006C05DD">
        <w:rPr>
          <w:color w:val="B08A5C"/>
          <w:lang w:val="es-ES"/>
        </w:rPr>
        <w:t>3.6  Soporte post-lanzamiento</w:t>
      </w:r>
    </w:p>
    <w:p w14:paraId="356A8E63" w14:textId="77777777" w:rsidR="00992827" w:rsidRPr="006C05DD" w:rsidRDefault="00000000">
      <w:pPr>
        <w:spacing w:after="160" w:line="320" w:lineRule="auto"/>
        <w:jc w:val="both"/>
        <w:rPr>
          <w:lang w:val="es-ES"/>
        </w:rPr>
      </w:pPr>
      <w:r w:rsidRPr="006C05DD">
        <w:rPr>
          <w:lang w:val="es-ES"/>
        </w:rPr>
        <w:t>Cuatro semanas de soporte intensivo. Tiempo de respuesta inferior a cuatro horas en horario laboral. Ajustes funcionales menores incluidos. Sesión semanal de revisión con el responsable del departamento.</w:t>
      </w:r>
    </w:p>
    <w:p w14:paraId="53E54DBF" w14:textId="77777777" w:rsidR="00992827" w:rsidRPr="006C05DD" w:rsidRDefault="00000000">
      <w:pPr>
        <w:rPr>
          <w:lang w:val="es-ES"/>
        </w:rPr>
      </w:pPr>
      <w:r w:rsidRPr="006C05DD">
        <w:rPr>
          <w:lang w:val="es-ES"/>
        </w:rPr>
        <w:br w:type="page"/>
      </w:r>
    </w:p>
    <w:p w14:paraId="1EE473CD" w14:textId="77777777" w:rsidR="00992827" w:rsidRPr="006C05DD" w:rsidRDefault="00000000">
      <w:pPr>
        <w:spacing w:before="200" w:after="80"/>
        <w:rPr>
          <w:lang w:val="es-ES"/>
        </w:rPr>
      </w:pPr>
      <w:r w:rsidRPr="006C05DD">
        <w:rPr>
          <w:b/>
          <w:bCs/>
          <w:color w:val="5C3A20"/>
          <w:spacing w:val="30"/>
          <w:sz w:val="16"/>
          <w:szCs w:val="16"/>
          <w:lang w:val="es-ES"/>
        </w:rPr>
        <w:t>4 · PLAN POR FASES</w:t>
      </w:r>
    </w:p>
    <w:p w14:paraId="3D3B4A07" w14:textId="77777777" w:rsidR="00992827" w:rsidRPr="006C05DD" w:rsidRDefault="00000000">
      <w:pPr>
        <w:pStyle w:val="Heading1"/>
        <w:spacing w:before="160" w:after="240"/>
        <w:rPr>
          <w:lang w:val="es-ES"/>
        </w:rPr>
      </w:pPr>
      <w:r w:rsidRPr="006C05DD">
        <w:rPr>
          <w:lang w:val="es-ES"/>
        </w:rPr>
        <w:t>15 meses, ocho entregables</w:t>
      </w:r>
    </w:p>
    <w:p w14:paraId="2693BE1E" w14:textId="77777777" w:rsidR="00992827" w:rsidRPr="006C05DD" w:rsidRDefault="00000000">
      <w:pPr>
        <w:spacing w:after="160" w:line="320" w:lineRule="auto"/>
        <w:jc w:val="both"/>
        <w:rPr>
          <w:lang w:val="es-ES"/>
        </w:rPr>
      </w:pPr>
      <w:r w:rsidRPr="006C05DD">
        <w:rPr>
          <w:lang w:val="es-ES"/>
        </w:rPr>
        <w:t>El programa se entrega en orden de impacto operativo y financiero. La fase final consolida la vista del holding. Cada fase culmina con dos hitos verificables: hito técnico (módulo en producción y automatizaciones ejecutándose) e hito de adopción (el equipo del departamento ha completado el ciclo de formación y ha ejecutado al menos un proceso real end-to-end).</w:t>
      </w:r>
    </w:p>
    <w:p w14:paraId="0CF15AFF" w14:textId="77777777" w:rsidR="00992827" w:rsidRPr="006C05DD" w:rsidRDefault="00992827">
      <w:pPr>
        <w:spacing w:before="100" w:after="100"/>
        <w:rPr>
          <w:lang w:val="es-E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6"/>
        <w:gridCol w:w="2054"/>
        <w:gridCol w:w="5726"/>
      </w:tblGrid>
      <w:tr w:rsidR="00992827" w:rsidRPr="006C05DD" w14:paraId="568530ED" w14:textId="77777777" w:rsidTr="006C05DD">
        <w:tblPrEx>
          <w:tblCellMar>
            <w:top w:w="0" w:type="dxa"/>
            <w:bottom w:w="0" w:type="dxa"/>
          </w:tblCellMar>
        </w:tblPrEx>
        <w:tc>
          <w:tcPr>
            <w:tcW w:w="1246" w:type="dxa"/>
            <w:tcBorders>
              <w:top w:val="single" w:sz="4" w:space="0" w:color="D8D4CD"/>
              <w:left w:val="single" w:sz="24" w:space="0" w:color="5C3A20"/>
              <w:bottom w:val="single" w:sz="4" w:space="0" w:color="D8D4CD"/>
              <w:right w:val="single" w:sz="4" w:space="0" w:color="D8D4CD"/>
            </w:tcBorders>
            <w:shd w:val="clear" w:color="auto" w:fill="F4ECE0"/>
            <w:tcMar>
              <w:top w:w="160" w:type="dxa"/>
              <w:left w:w="200" w:type="dxa"/>
              <w:bottom w:w="160" w:type="dxa"/>
              <w:right w:w="160" w:type="dxa"/>
            </w:tcMar>
            <w:vAlign w:val="center"/>
          </w:tcPr>
          <w:p w14:paraId="223C90CD" w14:textId="77777777" w:rsidR="00992827" w:rsidRDefault="00000000" w:rsidP="006C05DD">
            <w:pPr>
              <w:jc w:val="center"/>
            </w:pPr>
            <w:r>
              <w:rPr>
                <w:b/>
                <w:bCs/>
                <w:color w:val="5C3A20"/>
                <w:spacing w:val="30"/>
                <w:sz w:val="16"/>
                <w:szCs w:val="16"/>
              </w:rPr>
              <w:t>FASE 1</w:t>
            </w:r>
          </w:p>
          <w:p w14:paraId="088BC9BD" w14:textId="77777777" w:rsidR="00992827" w:rsidRDefault="00000000" w:rsidP="006C05DD">
            <w:pPr>
              <w:jc w:val="center"/>
            </w:pPr>
            <w:r>
              <w:rPr>
                <w:b/>
                <w:bCs/>
                <w:color w:val="0A0A0A"/>
              </w:rPr>
              <w:t>M 1–2</w:t>
            </w:r>
          </w:p>
        </w:tc>
        <w:tc>
          <w:tcPr>
            <w:tcW w:w="2054" w:type="dxa"/>
            <w:tcBorders>
              <w:top w:val="single" w:sz="4" w:space="0" w:color="D8D4CD"/>
              <w:left w:val="single" w:sz="2" w:space="0" w:color="D8D4CD"/>
              <w:bottom w:val="single" w:sz="4" w:space="0" w:color="D8D4CD"/>
              <w:right w:val="single" w:sz="4" w:space="0" w:color="D8D4CD"/>
            </w:tcBorders>
            <w:tcMar>
              <w:top w:w="160" w:type="dxa"/>
              <w:left w:w="160" w:type="dxa"/>
              <w:bottom w:w="160" w:type="dxa"/>
              <w:right w:w="160" w:type="dxa"/>
            </w:tcMar>
            <w:vAlign w:val="center"/>
          </w:tcPr>
          <w:p w14:paraId="75C71326" w14:textId="77777777" w:rsidR="00992827" w:rsidRDefault="00000000">
            <w:r>
              <w:rPr>
                <w:b/>
                <w:bCs/>
                <w:color w:val="1A1A1A"/>
                <w:sz w:val="24"/>
                <w:szCs w:val="24"/>
              </w:rPr>
              <w:t>Ventas</w:t>
            </w:r>
          </w:p>
        </w:tc>
        <w:tc>
          <w:tcPr>
            <w:tcW w:w="5726" w:type="dxa"/>
            <w:tcBorders>
              <w:top w:val="single" w:sz="4" w:space="0" w:color="D8D4CD"/>
              <w:left w:val="single" w:sz="2" w:space="0" w:color="D8D4CD"/>
              <w:bottom w:val="single" w:sz="4" w:space="0" w:color="D8D4CD"/>
              <w:right w:val="single" w:sz="4" w:space="0" w:color="D8D4CD"/>
            </w:tcBorders>
            <w:tcMar>
              <w:top w:w="160" w:type="dxa"/>
              <w:left w:w="200" w:type="dxa"/>
              <w:bottom w:w="160" w:type="dxa"/>
              <w:right w:w="160" w:type="dxa"/>
            </w:tcMar>
          </w:tcPr>
          <w:p w14:paraId="7136A18C" w14:textId="77777777" w:rsidR="00992827" w:rsidRPr="006C05DD" w:rsidRDefault="00000000">
            <w:pPr>
              <w:spacing w:after="100"/>
              <w:rPr>
                <w:lang w:val="es-ES"/>
              </w:rPr>
            </w:pPr>
            <w:r w:rsidRPr="006C05DD">
              <w:rPr>
                <w:sz w:val="20"/>
                <w:szCs w:val="20"/>
                <w:lang w:val="es-ES"/>
              </w:rPr>
              <w:t>Pipeline kanban, leaderboard del equipo comercial, gestión de partners y showrooms con tratamiento del Flagship Miami como entidad propia, registro automático de actividad, forecast ponderado, comisiones.</w:t>
            </w:r>
          </w:p>
          <w:p w14:paraId="57E064BB" w14:textId="77777777" w:rsidR="00992827" w:rsidRPr="006C05DD" w:rsidRDefault="00000000">
            <w:pPr>
              <w:rPr>
                <w:lang w:val="es-ES"/>
              </w:rPr>
            </w:pPr>
            <w:r w:rsidRPr="006C05DD">
              <w:rPr>
                <w:b/>
                <w:bCs/>
                <w:color w:val="5C3A20"/>
                <w:spacing w:val="30"/>
                <w:sz w:val="15"/>
                <w:szCs w:val="15"/>
                <w:lang w:val="es-ES"/>
              </w:rPr>
              <w:t xml:space="preserve">AUTOMATIZACIONES CORE  </w:t>
            </w:r>
            <w:r w:rsidRPr="006C05DD">
              <w:rPr>
                <w:sz w:val="18"/>
                <w:szCs w:val="18"/>
                <w:lang w:val="es-ES"/>
              </w:rPr>
              <w:t>asignación automática de leads, alertas de deals sin actividad, factura automática al cerrar deal, log cross-sistema.</w:t>
            </w:r>
          </w:p>
        </w:tc>
      </w:tr>
      <w:tr w:rsidR="00992827" w:rsidRPr="006C05DD" w14:paraId="41AF70B6" w14:textId="77777777" w:rsidTr="006C05DD">
        <w:tblPrEx>
          <w:tblCellMar>
            <w:top w:w="0" w:type="dxa"/>
            <w:bottom w:w="0" w:type="dxa"/>
          </w:tblCellMar>
        </w:tblPrEx>
        <w:tc>
          <w:tcPr>
            <w:tcW w:w="1246" w:type="dxa"/>
            <w:tcBorders>
              <w:top w:val="single" w:sz="4" w:space="0" w:color="D8D4CD"/>
              <w:left w:val="single" w:sz="24" w:space="0" w:color="B08A5C"/>
              <w:bottom w:val="single" w:sz="4" w:space="0" w:color="D8D4CD"/>
              <w:right w:val="single" w:sz="4" w:space="0" w:color="D8D4CD"/>
            </w:tcBorders>
            <w:shd w:val="clear" w:color="auto" w:fill="EEE9DD"/>
            <w:tcMar>
              <w:top w:w="160" w:type="dxa"/>
              <w:left w:w="200" w:type="dxa"/>
              <w:bottom w:w="160" w:type="dxa"/>
              <w:right w:w="160" w:type="dxa"/>
            </w:tcMar>
            <w:vAlign w:val="center"/>
          </w:tcPr>
          <w:p w14:paraId="4EB2C984" w14:textId="77777777" w:rsidR="00992827" w:rsidRDefault="00000000" w:rsidP="006C05DD">
            <w:pPr>
              <w:jc w:val="center"/>
            </w:pPr>
            <w:r>
              <w:rPr>
                <w:b/>
                <w:bCs/>
                <w:color w:val="B08A5C"/>
                <w:spacing w:val="30"/>
                <w:sz w:val="16"/>
                <w:szCs w:val="16"/>
              </w:rPr>
              <w:t>FASE 2</w:t>
            </w:r>
          </w:p>
          <w:p w14:paraId="3BE9A97D" w14:textId="77777777" w:rsidR="00992827" w:rsidRDefault="00000000" w:rsidP="006C05DD">
            <w:pPr>
              <w:jc w:val="center"/>
            </w:pPr>
            <w:r>
              <w:rPr>
                <w:b/>
                <w:bCs/>
                <w:color w:val="0A0A0A"/>
              </w:rPr>
              <w:t>M 3–4</w:t>
            </w:r>
          </w:p>
        </w:tc>
        <w:tc>
          <w:tcPr>
            <w:tcW w:w="2054" w:type="dxa"/>
            <w:tcBorders>
              <w:top w:val="single" w:sz="4" w:space="0" w:color="D8D4CD"/>
              <w:left w:val="single" w:sz="2" w:space="0" w:color="D8D4CD"/>
              <w:bottom w:val="single" w:sz="4" w:space="0" w:color="D8D4CD"/>
              <w:right w:val="single" w:sz="4" w:space="0" w:color="D8D4CD"/>
            </w:tcBorders>
            <w:tcMar>
              <w:top w:w="160" w:type="dxa"/>
              <w:left w:w="160" w:type="dxa"/>
              <w:bottom w:w="160" w:type="dxa"/>
              <w:right w:w="160" w:type="dxa"/>
            </w:tcMar>
            <w:vAlign w:val="center"/>
          </w:tcPr>
          <w:p w14:paraId="0E1806C4" w14:textId="77777777" w:rsidR="00992827" w:rsidRDefault="00000000">
            <w:r>
              <w:rPr>
                <w:b/>
                <w:bCs/>
                <w:color w:val="1A1A1A"/>
                <w:sz w:val="24"/>
                <w:szCs w:val="24"/>
              </w:rPr>
              <w:t>Accounting</w:t>
            </w:r>
          </w:p>
        </w:tc>
        <w:tc>
          <w:tcPr>
            <w:tcW w:w="5726" w:type="dxa"/>
            <w:tcBorders>
              <w:top w:val="single" w:sz="4" w:space="0" w:color="D8D4CD"/>
              <w:left w:val="single" w:sz="2" w:space="0" w:color="D8D4CD"/>
              <w:bottom w:val="single" w:sz="4" w:space="0" w:color="D8D4CD"/>
              <w:right w:val="single" w:sz="4" w:space="0" w:color="D8D4CD"/>
            </w:tcBorders>
            <w:tcMar>
              <w:top w:w="160" w:type="dxa"/>
              <w:left w:w="200" w:type="dxa"/>
              <w:bottom w:w="160" w:type="dxa"/>
              <w:right w:w="160" w:type="dxa"/>
            </w:tcMar>
          </w:tcPr>
          <w:p w14:paraId="4AC84553" w14:textId="77777777" w:rsidR="00992827" w:rsidRPr="006C05DD" w:rsidRDefault="00000000">
            <w:pPr>
              <w:spacing w:after="100"/>
              <w:rPr>
                <w:lang w:val="es-ES"/>
              </w:rPr>
            </w:pPr>
            <w:r w:rsidRPr="006C05DD">
              <w:rPr>
                <w:sz w:val="20"/>
                <w:szCs w:val="20"/>
                <w:lang w:val="es-ES"/>
              </w:rPr>
              <w:t>Facturación conectada a QuickBooks, generación y envío de links de pago, conciliación automática de cobros, P&amp;L mensual por sede y por brand, aging de cobros, cierre de mes guiado.</w:t>
            </w:r>
          </w:p>
          <w:p w14:paraId="00185CDE" w14:textId="77777777" w:rsidR="00992827" w:rsidRPr="006C05DD" w:rsidRDefault="00000000">
            <w:pPr>
              <w:rPr>
                <w:lang w:val="es-ES"/>
              </w:rPr>
            </w:pPr>
            <w:r w:rsidRPr="006C05DD">
              <w:rPr>
                <w:b/>
                <w:bCs/>
                <w:color w:val="B08A5C"/>
                <w:spacing w:val="30"/>
                <w:sz w:val="15"/>
                <w:szCs w:val="15"/>
                <w:lang w:val="es-ES"/>
              </w:rPr>
              <w:t xml:space="preserve">AUTOMATIZACIONES CORE  </w:t>
            </w:r>
            <w:r w:rsidRPr="006C05DD">
              <w:rPr>
                <w:sz w:val="18"/>
                <w:szCs w:val="18"/>
                <w:lang w:val="es-ES"/>
              </w:rPr>
              <w:t>factura al ganar deal, recordatorios D+7 / D+14 / D+21, escalado por impago, conciliación por webhook.</w:t>
            </w:r>
          </w:p>
        </w:tc>
      </w:tr>
      <w:tr w:rsidR="00992827" w:rsidRPr="006C05DD" w14:paraId="565602E9" w14:textId="77777777" w:rsidTr="006C05DD">
        <w:tblPrEx>
          <w:tblCellMar>
            <w:top w:w="0" w:type="dxa"/>
            <w:bottom w:w="0" w:type="dxa"/>
          </w:tblCellMar>
        </w:tblPrEx>
        <w:tc>
          <w:tcPr>
            <w:tcW w:w="1246" w:type="dxa"/>
            <w:tcBorders>
              <w:top w:val="single" w:sz="4" w:space="0" w:color="D8D4CD"/>
              <w:left w:val="single" w:sz="24" w:space="0" w:color="9AA08A"/>
              <w:bottom w:val="single" w:sz="4" w:space="0" w:color="D8D4CD"/>
              <w:right w:val="single" w:sz="4" w:space="0" w:color="D8D4CD"/>
            </w:tcBorders>
            <w:shd w:val="clear" w:color="auto" w:fill="EAEBE3"/>
            <w:tcMar>
              <w:top w:w="160" w:type="dxa"/>
              <w:left w:w="200" w:type="dxa"/>
              <w:bottom w:w="160" w:type="dxa"/>
              <w:right w:w="160" w:type="dxa"/>
            </w:tcMar>
            <w:vAlign w:val="center"/>
          </w:tcPr>
          <w:p w14:paraId="0283DB93" w14:textId="77777777" w:rsidR="00992827" w:rsidRDefault="00000000" w:rsidP="006C05DD">
            <w:pPr>
              <w:jc w:val="center"/>
            </w:pPr>
            <w:r>
              <w:rPr>
                <w:b/>
                <w:bCs/>
                <w:color w:val="9AA08A"/>
                <w:spacing w:val="30"/>
                <w:sz w:val="16"/>
                <w:szCs w:val="16"/>
              </w:rPr>
              <w:t>FASE 3</w:t>
            </w:r>
          </w:p>
          <w:p w14:paraId="178B5545" w14:textId="77777777" w:rsidR="00992827" w:rsidRDefault="00000000" w:rsidP="006C05DD">
            <w:pPr>
              <w:jc w:val="center"/>
            </w:pPr>
            <w:r>
              <w:rPr>
                <w:b/>
                <w:bCs/>
                <w:color w:val="0A0A0A"/>
              </w:rPr>
              <w:t>M 5–6</w:t>
            </w:r>
          </w:p>
        </w:tc>
        <w:tc>
          <w:tcPr>
            <w:tcW w:w="2054" w:type="dxa"/>
            <w:tcBorders>
              <w:top w:val="single" w:sz="4" w:space="0" w:color="D8D4CD"/>
              <w:left w:val="single" w:sz="2" w:space="0" w:color="D8D4CD"/>
              <w:bottom w:val="single" w:sz="4" w:space="0" w:color="D8D4CD"/>
              <w:right w:val="single" w:sz="4" w:space="0" w:color="D8D4CD"/>
            </w:tcBorders>
            <w:tcMar>
              <w:top w:w="160" w:type="dxa"/>
              <w:left w:w="160" w:type="dxa"/>
              <w:bottom w:w="160" w:type="dxa"/>
              <w:right w:w="160" w:type="dxa"/>
            </w:tcMar>
            <w:vAlign w:val="center"/>
          </w:tcPr>
          <w:p w14:paraId="5752FAC1" w14:textId="77777777" w:rsidR="00992827" w:rsidRDefault="00000000">
            <w:r>
              <w:rPr>
                <w:b/>
                <w:bCs/>
                <w:color w:val="1A1A1A"/>
                <w:sz w:val="24"/>
                <w:szCs w:val="24"/>
              </w:rPr>
              <w:t>Operations</w:t>
            </w:r>
          </w:p>
        </w:tc>
        <w:tc>
          <w:tcPr>
            <w:tcW w:w="5726" w:type="dxa"/>
            <w:tcBorders>
              <w:top w:val="single" w:sz="4" w:space="0" w:color="D8D4CD"/>
              <w:left w:val="single" w:sz="2" w:space="0" w:color="D8D4CD"/>
              <w:bottom w:val="single" w:sz="4" w:space="0" w:color="D8D4CD"/>
              <w:right w:val="single" w:sz="4" w:space="0" w:color="D8D4CD"/>
            </w:tcBorders>
            <w:tcMar>
              <w:top w:w="160" w:type="dxa"/>
              <w:left w:w="200" w:type="dxa"/>
              <w:bottom w:w="160" w:type="dxa"/>
              <w:right w:w="160" w:type="dxa"/>
            </w:tcMar>
          </w:tcPr>
          <w:p w14:paraId="256AA1EB" w14:textId="77777777" w:rsidR="00992827" w:rsidRPr="006C05DD" w:rsidRDefault="00000000">
            <w:pPr>
              <w:spacing w:after="100"/>
              <w:rPr>
                <w:lang w:val="es-ES"/>
              </w:rPr>
            </w:pPr>
            <w:r w:rsidRPr="006C05DD">
              <w:rPr>
                <w:sz w:val="20"/>
                <w:szCs w:val="20"/>
                <w:lang w:val="es-ES"/>
              </w:rPr>
              <w:t>Gestión de instalaciones con calendario gantt, asignación de equipos, control de SLA por sede, reportes de daños, vinculación con stock reservado, encuesta NPS automática al cierre.</w:t>
            </w:r>
          </w:p>
          <w:p w14:paraId="06D28C1E" w14:textId="77777777" w:rsidR="00992827" w:rsidRPr="006C05DD" w:rsidRDefault="00000000">
            <w:pPr>
              <w:rPr>
                <w:lang w:val="es-ES"/>
              </w:rPr>
            </w:pPr>
            <w:r w:rsidRPr="006C05DD">
              <w:rPr>
                <w:b/>
                <w:bCs/>
                <w:color w:val="9AA08A"/>
                <w:spacing w:val="30"/>
                <w:sz w:val="15"/>
                <w:szCs w:val="15"/>
                <w:lang w:val="es-ES"/>
              </w:rPr>
              <w:t xml:space="preserve">AUTOMATIZACIONES CORE  </w:t>
            </w:r>
            <w:r w:rsidRPr="006C05DD">
              <w:rPr>
                <w:sz w:val="18"/>
                <w:szCs w:val="18"/>
                <w:lang w:val="es-ES"/>
              </w:rPr>
              <w:t>instalación propuesta al cobrar factura, recordatorios al cliente, escalado por SLA superado.</w:t>
            </w:r>
          </w:p>
        </w:tc>
      </w:tr>
      <w:tr w:rsidR="00992827" w:rsidRPr="006C05DD" w14:paraId="6E6197FC" w14:textId="77777777" w:rsidTr="006C05DD">
        <w:tblPrEx>
          <w:tblCellMar>
            <w:top w:w="0" w:type="dxa"/>
            <w:bottom w:w="0" w:type="dxa"/>
          </w:tblCellMar>
        </w:tblPrEx>
        <w:tc>
          <w:tcPr>
            <w:tcW w:w="1246" w:type="dxa"/>
            <w:tcBorders>
              <w:top w:val="single" w:sz="4" w:space="0" w:color="D8D4CD"/>
              <w:left w:val="single" w:sz="24" w:space="0" w:color="5C3A20"/>
              <w:bottom w:val="single" w:sz="4" w:space="0" w:color="D8D4CD"/>
              <w:right w:val="single" w:sz="4" w:space="0" w:color="D8D4CD"/>
            </w:tcBorders>
            <w:shd w:val="clear" w:color="auto" w:fill="F4ECE0"/>
            <w:tcMar>
              <w:top w:w="160" w:type="dxa"/>
              <w:left w:w="200" w:type="dxa"/>
              <w:bottom w:w="160" w:type="dxa"/>
              <w:right w:w="160" w:type="dxa"/>
            </w:tcMar>
            <w:vAlign w:val="center"/>
          </w:tcPr>
          <w:p w14:paraId="3CBA7E56" w14:textId="77777777" w:rsidR="00992827" w:rsidRDefault="00000000" w:rsidP="006C05DD">
            <w:pPr>
              <w:jc w:val="center"/>
            </w:pPr>
            <w:r>
              <w:rPr>
                <w:b/>
                <w:bCs/>
                <w:color w:val="5C3A20"/>
                <w:spacing w:val="30"/>
                <w:sz w:val="16"/>
                <w:szCs w:val="16"/>
              </w:rPr>
              <w:t>FASE 4</w:t>
            </w:r>
          </w:p>
          <w:p w14:paraId="598D6CFA" w14:textId="77777777" w:rsidR="00992827" w:rsidRDefault="00000000" w:rsidP="006C05DD">
            <w:pPr>
              <w:jc w:val="center"/>
            </w:pPr>
            <w:r>
              <w:rPr>
                <w:b/>
                <w:bCs/>
                <w:color w:val="0A0A0A"/>
              </w:rPr>
              <w:t>M 7–8</w:t>
            </w:r>
          </w:p>
        </w:tc>
        <w:tc>
          <w:tcPr>
            <w:tcW w:w="2054" w:type="dxa"/>
            <w:tcBorders>
              <w:top w:val="single" w:sz="4" w:space="0" w:color="D8D4CD"/>
              <w:left w:val="single" w:sz="2" w:space="0" w:color="D8D4CD"/>
              <w:bottom w:val="single" w:sz="4" w:space="0" w:color="D8D4CD"/>
              <w:right w:val="single" w:sz="4" w:space="0" w:color="D8D4CD"/>
            </w:tcBorders>
            <w:tcMar>
              <w:top w:w="160" w:type="dxa"/>
              <w:left w:w="160" w:type="dxa"/>
              <w:bottom w:w="160" w:type="dxa"/>
              <w:right w:w="160" w:type="dxa"/>
            </w:tcMar>
            <w:vAlign w:val="center"/>
          </w:tcPr>
          <w:p w14:paraId="219A9474" w14:textId="77777777" w:rsidR="00992827" w:rsidRDefault="00000000">
            <w:r>
              <w:rPr>
                <w:b/>
                <w:bCs/>
                <w:color w:val="1A1A1A"/>
                <w:sz w:val="24"/>
                <w:szCs w:val="24"/>
              </w:rPr>
              <w:t>Supply Chain</w:t>
            </w:r>
          </w:p>
        </w:tc>
        <w:tc>
          <w:tcPr>
            <w:tcW w:w="5726" w:type="dxa"/>
            <w:tcBorders>
              <w:top w:val="single" w:sz="4" w:space="0" w:color="D8D4CD"/>
              <w:left w:val="single" w:sz="2" w:space="0" w:color="D8D4CD"/>
              <w:bottom w:val="single" w:sz="4" w:space="0" w:color="D8D4CD"/>
              <w:right w:val="single" w:sz="4" w:space="0" w:color="D8D4CD"/>
            </w:tcBorders>
            <w:tcMar>
              <w:top w:w="160" w:type="dxa"/>
              <w:left w:w="200" w:type="dxa"/>
              <w:bottom w:w="160" w:type="dxa"/>
              <w:right w:w="160" w:type="dxa"/>
            </w:tcMar>
          </w:tcPr>
          <w:p w14:paraId="423DF39E" w14:textId="77777777" w:rsidR="00992827" w:rsidRPr="006C05DD" w:rsidRDefault="00000000">
            <w:pPr>
              <w:spacing w:after="100"/>
              <w:rPr>
                <w:lang w:val="es-ES"/>
              </w:rPr>
            </w:pPr>
            <w:r w:rsidRPr="006C05DD">
              <w:rPr>
                <w:sz w:val="20"/>
                <w:szCs w:val="20"/>
                <w:lang w:val="es-ES"/>
              </w:rPr>
              <w:t>Inventario por almacén (Madrid y Newark), pipeline de órdenes de compra de fábrica a disponible, tracking de containers, gestión de proveedores con histórico de lead times, forecast de demanda, reserva de stock.</w:t>
            </w:r>
          </w:p>
          <w:p w14:paraId="5DB7C731" w14:textId="77777777" w:rsidR="00992827" w:rsidRPr="006C05DD" w:rsidRDefault="00000000">
            <w:pPr>
              <w:rPr>
                <w:lang w:val="es-ES"/>
              </w:rPr>
            </w:pPr>
            <w:r w:rsidRPr="006C05DD">
              <w:rPr>
                <w:b/>
                <w:bCs/>
                <w:color w:val="5C3A20"/>
                <w:spacing w:val="30"/>
                <w:sz w:val="15"/>
                <w:szCs w:val="15"/>
                <w:lang w:val="es-ES"/>
              </w:rPr>
              <w:t xml:space="preserve">AUTOMATIZACIONES CORE  </w:t>
            </w:r>
            <w:r w:rsidRPr="006C05DD">
              <w:rPr>
                <w:sz w:val="18"/>
                <w:szCs w:val="18"/>
                <w:lang w:val="es-ES"/>
              </w:rPr>
              <w:t>OC sugerida ante stock bajo umbral, alertas de retraso a Operations, actualización automática del stock disponible.</w:t>
            </w:r>
          </w:p>
        </w:tc>
      </w:tr>
      <w:tr w:rsidR="00992827" w:rsidRPr="006C05DD" w14:paraId="1D084402" w14:textId="77777777" w:rsidTr="006C05DD">
        <w:tblPrEx>
          <w:tblCellMar>
            <w:top w:w="0" w:type="dxa"/>
            <w:bottom w:w="0" w:type="dxa"/>
          </w:tblCellMar>
        </w:tblPrEx>
        <w:tc>
          <w:tcPr>
            <w:tcW w:w="1246" w:type="dxa"/>
            <w:tcBorders>
              <w:top w:val="single" w:sz="4" w:space="0" w:color="D8D4CD"/>
              <w:left w:val="single" w:sz="24" w:space="0" w:color="B08A5C"/>
              <w:bottom w:val="single" w:sz="4" w:space="0" w:color="D8D4CD"/>
              <w:right w:val="single" w:sz="4" w:space="0" w:color="D8D4CD"/>
            </w:tcBorders>
            <w:shd w:val="clear" w:color="auto" w:fill="EEE9DD"/>
            <w:tcMar>
              <w:top w:w="160" w:type="dxa"/>
              <w:left w:w="200" w:type="dxa"/>
              <w:bottom w:w="160" w:type="dxa"/>
              <w:right w:w="160" w:type="dxa"/>
            </w:tcMar>
            <w:vAlign w:val="center"/>
          </w:tcPr>
          <w:p w14:paraId="3110A20C" w14:textId="77777777" w:rsidR="00992827" w:rsidRDefault="00000000" w:rsidP="006C05DD">
            <w:pPr>
              <w:jc w:val="center"/>
            </w:pPr>
            <w:r>
              <w:rPr>
                <w:b/>
                <w:bCs/>
                <w:color w:val="B08A5C"/>
                <w:spacing w:val="30"/>
                <w:sz w:val="16"/>
                <w:szCs w:val="16"/>
              </w:rPr>
              <w:t>FASE 5</w:t>
            </w:r>
          </w:p>
          <w:p w14:paraId="662577CE" w14:textId="77777777" w:rsidR="00992827" w:rsidRDefault="00000000" w:rsidP="006C05DD">
            <w:pPr>
              <w:jc w:val="center"/>
            </w:pPr>
            <w:r>
              <w:rPr>
                <w:b/>
                <w:bCs/>
                <w:color w:val="0A0A0A"/>
              </w:rPr>
              <w:t>M 9–10</w:t>
            </w:r>
          </w:p>
        </w:tc>
        <w:tc>
          <w:tcPr>
            <w:tcW w:w="2054" w:type="dxa"/>
            <w:tcBorders>
              <w:top w:val="single" w:sz="4" w:space="0" w:color="D8D4CD"/>
              <w:left w:val="single" w:sz="2" w:space="0" w:color="D8D4CD"/>
              <w:bottom w:val="single" w:sz="4" w:space="0" w:color="D8D4CD"/>
              <w:right w:val="single" w:sz="4" w:space="0" w:color="D8D4CD"/>
            </w:tcBorders>
            <w:tcMar>
              <w:top w:w="160" w:type="dxa"/>
              <w:left w:w="160" w:type="dxa"/>
              <w:bottom w:w="160" w:type="dxa"/>
              <w:right w:w="160" w:type="dxa"/>
            </w:tcMar>
            <w:vAlign w:val="center"/>
          </w:tcPr>
          <w:p w14:paraId="467204AF" w14:textId="77777777" w:rsidR="00992827" w:rsidRDefault="00000000">
            <w:r>
              <w:rPr>
                <w:b/>
                <w:bCs/>
                <w:color w:val="1A1A1A"/>
                <w:sz w:val="24"/>
                <w:szCs w:val="24"/>
              </w:rPr>
              <w:t>Marketing</w:t>
            </w:r>
          </w:p>
        </w:tc>
        <w:tc>
          <w:tcPr>
            <w:tcW w:w="5726" w:type="dxa"/>
            <w:tcBorders>
              <w:top w:val="single" w:sz="4" w:space="0" w:color="D8D4CD"/>
              <w:left w:val="single" w:sz="2" w:space="0" w:color="D8D4CD"/>
              <w:bottom w:val="single" w:sz="4" w:space="0" w:color="D8D4CD"/>
              <w:right w:val="single" w:sz="4" w:space="0" w:color="D8D4CD"/>
            </w:tcBorders>
            <w:tcMar>
              <w:top w:w="160" w:type="dxa"/>
              <w:left w:w="200" w:type="dxa"/>
              <w:bottom w:w="160" w:type="dxa"/>
              <w:right w:w="160" w:type="dxa"/>
            </w:tcMar>
          </w:tcPr>
          <w:p w14:paraId="1F2A882A" w14:textId="77777777" w:rsidR="00992827" w:rsidRPr="006C05DD" w:rsidRDefault="00000000">
            <w:pPr>
              <w:spacing w:after="100"/>
              <w:rPr>
                <w:lang w:val="es-ES"/>
              </w:rPr>
            </w:pPr>
            <w:r w:rsidRPr="006C05DD">
              <w:rPr>
                <w:sz w:val="20"/>
                <w:szCs w:val="20"/>
                <w:lang w:val="es-ES"/>
              </w:rPr>
              <w:t>Gestión de campañas con tracking de spend, importación y scoring automático de leads, secuencias de nurture, calendario editorial, attribution de deals a campañas y canales.</w:t>
            </w:r>
          </w:p>
          <w:p w14:paraId="3DB67DE3" w14:textId="77777777" w:rsidR="00992827" w:rsidRPr="006C05DD" w:rsidRDefault="00000000">
            <w:pPr>
              <w:rPr>
                <w:lang w:val="es-ES"/>
              </w:rPr>
            </w:pPr>
            <w:r w:rsidRPr="006C05DD">
              <w:rPr>
                <w:b/>
                <w:bCs/>
                <w:color w:val="B08A5C"/>
                <w:spacing w:val="30"/>
                <w:sz w:val="15"/>
                <w:szCs w:val="15"/>
                <w:lang w:val="es-ES"/>
              </w:rPr>
              <w:t xml:space="preserve">AUTOMATIZACIONES CORE  </w:t>
            </w:r>
            <w:r w:rsidRPr="006C05DD">
              <w:rPr>
                <w:sz w:val="18"/>
                <w:szCs w:val="18"/>
                <w:lang w:val="es-ES"/>
              </w:rPr>
              <w:t>secuencia de bienvenida al captar lead, paso a SQL por score, re-engagement por inactividad.</w:t>
            </w:r>
          </w:p>
        </w:tc>
      </w:tr>
      <w:tr w:rsidR="00992827" w:rsidRPr="006C05DD" w14:paraId="4AF8D05D" w14:textId="77777777" w:rsidTr="006C05DD">
        <w:tblPrEx>
          <w:tblCellMar>
            <w:top w:w="0" w:type="dxa"/>
            <w:bottom w:w="0" w:type="dxa"/>
          </w:tblCellMar>
        </w:tblPrEx>
        <w:tc>
          <w:tcPr>
            <w:tcW w:w="1246" w:type="dxa"/>
            <w:tcBorders>
              <w:top w:val="single" w:sz="4" w:space="0" w:color="D8D4CD"/>
              <w:left w:val="single" w:sz="24" w:space="0" w:color="9AA08A"/>
              <w:bottom w:val="single" w:sz="4" w:space="0" w:color="D8D4CD"/>
              <w:right w:val="single" w:sz="4" w:space="0" w:color="D8D4CD"/>
            </w:tcBorders>
            <w:shd w:val="clear" w:color="auto" w:fill="EAEBE3"/>
            <w:tcMar>
              <w:top w:w="160" w:type="dxa"/>
              <w:left w:w="200" w:type="dxa"/>
              <w:bottom w:w="160" w:type="dxa"/>
              <w:right w:w="160" w:type="dxa"/>
            </w:tcMar>
            <w:vAlign w:val="center"/>
          </w:tcPr>
          <w:p w14:paraId="6125D2B2" w14:textId="77777777" w:rsidR="00992827" w:rsidRDefault="00000000" w:rsidP="006C05DD">
            <w:pPr>
              <w:jc w:val="center"/>
            </w:pPr>
            <w:r>
              <w:rPr>
                <w:b/>
                <w:bCs/>
                <w:color w:val="9AA08A"/>
                <w:spacing w:val="30"/>
                <w:sz w:val="16"/>
                <w:szCs w:val="16"/>
              </w:rPr>
              <w:t>FASE 6</w:t>
            </w:r>
          </w:p>
          <w:p w14:paraId="0310EBEE" w14:textId="77777777" w:rsidR="00992827" w:rsidRDefault="00000000" w:rsidP="006C05DD">
            <w:pPr>
              <w:jc w:val="center"/>
            </w:pPr>
            <w:r>
              <w:rPr>
                <w:b/>
                <w:bCs/>
                <w:color w:val="0A0A0A"/>
              </w:rPr>
              <w:t>M 11–12</w:t>
            </w:r>
          </w:p>
        </w:tc>
        <w:tc>
          <w:tcPr>
            <w:tcW w:w="2054" w:type="dxa"/>
            <w:tcBorders>
              <w:top w:val="single" w:sz="4" w:space="0" w:color="D8D4CD"/>
              <w:left w:val="single" w:sz="2" w:space="0" w:color="D8D4CD"/>
              <w:bottom w:val="single" w:sz="4" w:space="0" w:color="D8D4CD"/>
              <w:right w:val="single" w:sz="4" w:space="0" w:color="D8D4CD"/>
            </w:tcBorders>
            <w:tcMar>
              <w:top w:w="160" w:type="dxa"/>
              <w:left w:w="160" w:type="dxa"/>
              <w:bottom w:w="160" w:type="dxa"/>
              <w:right w:w="160" w:type="dxa"/>
            </w:tcMar>
            <w:vAlign w:val="center"/>
          </w:tcPr>
          <w:p w14:paraId="3B37C734" w14:textId="77777777" w:rsidR="00992827" w:rsidRDefault="00000000">
            <w:r>
              <w:rPr>
                <w:b/>
                <w:bCs/>
                <w:color w:val="1A1A1A"/>
                <w:sz w:val="24"/>
                <w:szCs w:val="24"/>
              </w:rPr>
              <w:t>Postventa</w:t>
            </w:r>
          </w:p>
        </w:tc>
        <w:tc>
          <w:tcPr>
            <w:tcW w:w="5726" w:type="dxa"/>
            <w:tcBorders>
              <w:top w:val="single" w:sz="4" w:space="0" w:color="D8D4CD"/>
              <w:left w:val="single" w:sz="2" w:space="0" w:color="D8D4CD"/>
              <w:bottom w:val="single" w:sz="4" w:space="0" w:color="D8D4CD"/>
              <w:right w:val="single" w:sz="4" w:space="0" w:color="D8D4CD"/>
            </w:tcBorders>
            <w:tcMar>
              <w:top w:w="160" w:type="dxa"/>
              <w:left w:w="200" w:type="dxa"/>
              <w:bottom w:w="160" w:type="dxa"/>
              <w:right w:w="160" w:type="dxa"/>
            </w:tcMar>
          </w:tcPr>
          <w:p w14:paraId="65E1E324" w14:textId="77777777" w:rsidR="00992827" w:rsidRPr="006C05DD" w:rsidRDefault="00000000">
            <w:pPr>
              <w:spacing w:after="100"/>
              <w:rPr>
                <w:lang w:val="es-ES"/>
              </w:rPr>
            </w:pPr>
            <w:r w:rsidRPr="006C05DD">
              <w:rPr>
                <w:sz w:val="20"/>
                <w:szCs w:val="20"/>
                <w:lang w:val="es-ES"/>
              </w:rPr>
              <w:t>Tickets con priorización y SLA, agregador de reseñas, NPS rolling, categorización automática de causas, leaderboard del equipo de soporte.</w:t>
            </w:r>
          </w:p>
          <w:p w14:paraId="25D3D756" w14:textId="77777777" w:rsidR="00992827" w:rsidRPr="006C05DD" w:rsidRDefault="00000000">
            <w:pPr>
              <w:rPr>
                <w:lang w:val="es-ES"/>
              </w:rPr>
            </w:pPr>
            <w:r w:rsidRPr="006C05DD">
              <w:rPr>
                <w:b/>
                <w:bCs/>
                <w:color w:val="9AA08A"/>
                <w:spacing w:val="30"/>
                <w:sz w:val="15"/>
                <w:szCs w:val="15"/>
                <w:lang w:val="es-ES"/>
              </w:rPr>
              <w:t xml:space="preserve">AUTOMATIZACIONES CORE  </w:t>
            </w:r>
            <w:r w:rsidRPr="006C05DD">
              <w:rPr>
                <w:sz w:val="18"/>
                <w:szCs w:val="18"/>
                <w:lang w:val="es-ES"/>
              </w:rPr>
              <w:t>ticket automático ante reseña baja, escalado por inactividad, encuesta de satisfacción al cierre.</w:t>
            </w:r>
          </w:p>
        </w:tc>
      </w:tr>
      <w:tr w:rsidR="00992827" w:rsidRPr="006C05DD" w14:paraId="2740E264" w14:textId="77777777" w:rsidTr="006C05DD">
        <w:tblPrEx>
          <w:tblCellMar>
            <w:top w:w="0" w:type="dxa"/>
            <w:bottom w:w="0" w:type="dxa"/>
          </w:tblCellMar>
        </w:tblPrEx>
        <w:tc>
          <w:tcPr>
            <w:tcW w:w="1246" w:type="dxa"/>
            <w:tcBorders>
              <w:top w:val="single" w:sz="4" w:space="0" w:color="D8D4CD"/>
              <w:left w:val="single" w:sz="24" w:space="0" w:color="5C3A20"/>
              <w:bottom w:val="single" w:sz="4" w:space="0" w:color="D8D4CD"/>
              <w:right w:val="single" w:sz="4" w:space="0" w:color="D8D4CD"/>
            </w:tcBorders>
            <w:shd w:val="clear" w:color="auto" w:fill="F4ECE0"/>
            <w:tcMar>
              <w:top w:w="160" w:type="dxa"/>
              <w:left w:w="200" w:type="dxa"/>
              <w:bottom w:w="160" w:type="dxa"/>
              <w:right w:w="160" w:type="dxa"/>
            </w:tcMar>
            <w:vAlign w:val="center"/>
          </w:tcPr>
          <w:p w14:paraId="465E5C9F" w14:textId="77777777" w:rsidR="00992827" w:rsidRDefault="00000000" w:rsidP="006C05DD">
            <w:pPr>
              <w:jc w:val="center"/>
            </w:pPr>
            <w:r>
              <w:rPr>
                <w:b/>
                <w:bCs/>
                <w:color w:val="5C3A20"/>
                <w:spacing w:val="30"/>
                <w:sz w:val="16"/>
                <w:szCs w:val="16"/>
              </w:rPr>
              <w:t>FASE 7</w:t>
            </w:r>
          </w:p>
          <w:p w14:paraId="2D141BA0" w14:textId="77777777" w:rsidR="00992827" w:rsidRDefault="00000000" w:rsidP="006C05DD">
            <w:pPr>
              <w:jc w:val="center"/>
            </w:pPr>
            <w:r>
              <w:rPr>
                <w:b/>
                <w:bCs/>
                <w:color w:val="0A0A0A"/>
              </w:rPr>
              <w:t>M 13–14</w:t>
            </w:r>
          </w:p>
        </w:tc>
        <w:tc>
          <w:tcPr>
            <w:tcW w:w="2054" w:type="dxa"/>
            <w:tcBorders>
              <w:top w:val="single" w:sz="4" w:space="0" w:color="D8D4CD"/>
              <w:left w:val="single" w:sz="2" w:space="0" w:color="D8D4CD"/>
              <w:bottom w:val="single" w:sz="4" w:space="0" w:color="D8D4CD"/>
              <w:right w:val="single" w:sz="4" w:space="0" w:color="D8D4CD"/>
            </w:tcBorders>
            <w:tcMar>
              <w:top w:w="160" w:type="dxa"/>
              <w:left w:w="160" w:type="dxa"/>
              <w:bottom w:w="160" w:type="dxa"/>
              <w:right w:w="160" w:type="dxa"/>
            </w:tcMar>
            <w:vAlign w:val="center"/>
          </w:tcPr>
          <w:p w14:paraId="7774971F" w14:textId="77777777" w:rsidR="00992827" w:rsidRDefault="00000000">
            <w:r>
              <w:rPr>
                <w:b/>
                <w:bCs/>
                <w:color w:val="1A1A1A"/>
                <w:sz w:val="24"/>
                <w:szCs w:val="24"/>
              </w:rPr>
              <w:t>Tecnología</w:t>
            </w:r>
          </w:p>
        </w:tc>
        <w:tc>
          <w:tcPr>
            <w:tcW w:w="5726" w:type="dxa"/>
            <w:tcBorders>
              <w:top w:val="single" w:sz="4" w:space="0" w:color="D8D4CD"/>
              <w:left w:val="single" w:sz="2" w:space="0" w:color="D8D4CD"/>
              <w:bottom w:val="single" w:sz="4" w:space="0" w:color="D8D4CD"/>
              <w:right w:val="single" w:sz="4" w:space="0" w:color="D8D4CD"/>
            </w:tcBorders>
            <w:tcMar>
              <w:top w:w="160" w:type="dxa"/>
              <w:left w:w="200" w:type="dxa"/>
              <w:bottom w:w="160" w:type="dxa"/>
              <w:right w:w="160" w:type="dxa"/>
            </w:tcMar>
          </w:tcPr>
          <w:p w14:paraId="4ED683D6" w14:textId="77777777" w:rsidR="00992827" w:rsidRPr="006C05DD" w:rsidRDefault="00000000">
            <w:pPr>
              <w:spacing w:after="100"/>
              <w:rPr>
                <w:lang w:val="es-ES"/>
              </w:rPr>
            </w:pPr>
            <w:r w:rsidRPr="006C05DD">
              <w:rPr>
                <w:sz w:val="20"/>
                <w:szCs w:val="20"/>
                <w:lang w:val="es-ES"/>
              </w:rPr>
              <w:t>Roadmap kanban del equipo técnico, monitor de salud de integraciones, log de deploys, métricas de sistema, audit log explorable, panel de settings.</w:t>
            </w:r>
          </w:p>
          <w:p w14:paraId="168C8116" w14:textId="77777777" w:rsidR="00992827" w:rsidRPr="006C05DD" w:rsidRDefault="00000000">
            <w:pPr>
              <w:rPr>
                <w:lang w:val="es-ES"/>
              </w:rPr>
            </w:pPr>
            <w:r w:rsidRPr="006C05DD">
              <w:rPr>
                <w:b/>
                <w:bCs/>
                <w:color w:val="5C3A20"/>
                <w:spacing w:val="30"/>
                <w:sz w:val="15"/>
                <w:szCs w:val="15"/>
                <w:lang w:val="es-ES"/>
              </w:rPr>
              <w:t xml:space="preserve">AUTOMATIZACIONES CORE  </w:t>
            </w:r>
            <w:r w:rsidRPr="006C05DD">
              <w:rPr>
                <w:sz w:val="18"/>
                <w:szCs w:val="18"/>
                <w:lang w:val="es-ES"/>
              </w:rPr>
              <w:t>alerta por latencia elevada, ticket automático por caída de integración, captura en audit log de toda mutación.</w:t>
            </w:r>
          </w:p>
        </w:tc>
      </w:tr>
      <w:tr w:rsidR="00992827" w:rsidRPr="006C05DD" w14:paraId="5A095C2A" w14:textId="77777777" w:rsidTr="006C05DD">
        <w:tblPrEx>
          <w:tblCellMar>
            <w:top w:w="0" w:type="dxa"/>
            <w:bottom w:w="0" w:type="dxa"/>
          </w:tblCellMar>
        </w:tblPrEx>
        <w:tc>
          <w:tcPr>
            <w:tcW w:w="1246" w:type="dxa"/>
            <w:tcBorders>
              <w:top w:val="single" w:sz="4" w:space="0" w:color="D8D4CD"/>
              <w:left w:val="single" w:sz="24" w:space="0" w:color="B08A5C"/>
              <w:bottom w:val="single" w:sz="4" w:space="0" w:color="D8D4CD"/>
              <w:right w:val="single" w:sz="4" w:space="0" w:color="D8D4CD"/>
            </w:tcBorders>
            <w:shd w:val="clear" w:color="auto" w:fill="EEE9DD"/>
            <w:tcMar>
              <w:top w:w="160" w:type="dxa"/>
              <w:left w:w="200" w:type="dxa"/>
              <w:bottom w:w="160" w:type="dxa"/>
              <w:right w:w="160" w:type="dxa"/>
            </w:tcMar>
            <w:vAlign w:val="center"/>
          </w:tcPr>
          <w:p w14:paraId="7F39CF0C" w14:textId="77777777" w:rsidR="00992827" w:rsidRDefault="00000000" w:rsidP="006C05DD">
            <w:pPr>
              <w:jc w:val="center"/>
            </w:pPr>
            <w:r>
              <w:rPr>
                <w:b/>
                <w:bCs/>
                <w:color w:val="B08A5C"/>
                <w:spacing w:val="30"/>
                <w:sz w:val="16"/>
                <w:szCs w:val="16"/>
              </w:rPr>
              <w:t>FASE 8</w:t>
            </w:r>
          </w:p>
          <w:p w14:paraId="67C8EC74" w14:textId="77777777" w:rsidR="00992827" w:rsidRDefault="00000000" w:rsidP="006C05DD">
            <w:pPr>
              <w:jc w:val="center"/>
            </w:pPr>
            <w:r>
              <w:rPr>
                <w:b/>
                <w:bCs/>
                <w:color w:val="0A0A0A"/>
              </w:rPr>
              <w:t>M 15</w:t>
            </w:r>
          </w:p>
        </w:tc>
        <w:tc>
          <w:tcPr>
            <w:tcW w:w="2054" w:type="dxa"/>
            <w:tcBorders>
              <w:top w:val="single" w:sz="4" w:space="0" w:color="D8D4CD"/>
              <w:left w:val="single" w:sz="2" w:space="0" w:color="D8D4CD"/>
              <w:bottom w:val="single" w:sz="4" w:space="0" w:color="D8D4CD"/>
              <w:right w:val="single" w:sz="4" w:space="0" w:color="D8D4CD"/>
            </w:tcBorders>
            <w:tcMar>
              <w:top w:w="160" w:type="dxa"/>
              <w:left w:w="160" w:type="dxa"/>
              <w:bottom w:w="160" w:type="dxa"/>
              <w:right w:w="160" w:type="dxa"/>
            </w:tcMar>
            <w:vAlign w:val="center"/>
          </w:tcPr>
          <w:p w14:paraId="222409F7" w14:textId="77777777" w:rsidR="00992827" w:rsidRDefault="00000000">
            <w:r>
              <w:rPr>
                <w:b/>
                <w:bCs/>
                <w:color w:val="1A1A1A"/>
                <w:sz w:val="24"/>
                <w:szCs w:val="24"/>
              </w:rPr>
              <w:t>Holding</w:t>
            </w:r>
          </w:p>
        </w:tc>
        <w:tc>
          <w:tcPr>
            <w:tcW w:w="5726" w:type="dxa"/>
            <w:tcBorders>
              <w:top w:val="single" w:sz="4" w:space="0" w:color="D8D4CD"/>
              <w:left w:val="single" w:sz="2" w:space="0" w:color="D8D4CD"/>
              <w:bottom w:val="single" w:sz="4" w:space="0" w:color="D8D4CD"/>
              <w:right w:val="single" w:sz="4" w:space="0" w:color="D8D4CD"/>
            </w:tcBorders>
            <w:tcMar>
              <w:top w:w="160" w:type="dxa"/>
              <w:left w:w="200" w:type="dxa"/>
              <w:bottom w:w="160" w:type="dxa"/>
              <w:right w:w="160" w:type="dxa"/>
            </w:tcMar>
          </w:tcPr>
          <w:p w14:paraId="5B9F0AD1" w14:textId="77777777" w:rsidR="00992827" w:rsidRPr="006C05DD" w:rsidRDefault="00000000">
            <w:pPr>
              <w:spacing w:after="100"/>
              <w:rPr>
                <w:lang w:val="es-ES"/>
              </w:rPr>
            </w:pPr>
            <w:r w:rsidRPr="006C05DD">
              <w:rPr>
                <w:sz w:val="20"/>
                <w:szCs w:val="20"/>
                <w:lang w:val="es-ES"/>
              </w:rPr>
              <w:t>Consolidación de la vista del holding con KPIs cross-sede y cross-brand, reporting ejecutivo programable, dashboard del Flagship Miami con P&amp;L independiente, exportación a BI.</w:t>
            </w:r>
          </w:p>
          <w:p w14:paraId="7F6ED5B4" w14:textId="77777777" w:rsidR="00992827" w:rsidRPr="006C05DD" w:rsidRDefault="00000000">
            <w:pPr>
              <w:rPr>
                <w:lang w:val="es-ES"/>
              </w:rPr>
            </w:pPr>
            <w:r w:rsidRPr="006C05DD">
              <w:rPr>
                <w:b/>
                <w:bCs/>
                <w:color w:val="B08A5C"/>
                <w:spacing w:val="30"/>
                <w:sz w:val="15"/>
                <w:szCs w:val="15"/>
                <w:lang w:val="es-ES"/>
              </w:rPr>
              <w:t xml:space="preserve">AUTOMATIZACIONES CORE  </w:t>
            </w:r>
            <w:r w:rsidRPr="006C05DD">
              <w:rPr>
                <w:sz w:val="18"/>
                <w:szCs w:val="18"/>
                <w:lang w:val="es-ES"/>
              </w:rPr>
              <w:t>envío automático de informes ejecutivos semanales, mensuales, cuatrimestrales y anuales + alertas ante desviaciones.</w:t>
            </w:r>
          </w:p>
        </w:tc>
      </w:tr>
    </w:tbl>
    <w:p w14:paraId="3421A82D" w14:textId="77777777" w:rsidR="00992827" w:rsidRPr="006C05DD" w:rsidRDefault="00000000">
      <w:pPr>
        <w:rPr>
          <w:lang w:val="es-ES"/>
        </w:rPr>
      </w:pPr>
      <w:r w:rsidRPr="006C05DD">
        <w:rPr>
          <w:lang w:val="es-ES"/>
        </w:rPr>
        <w:br w:type="page"/>
      </w:r>
    </w:p>
    <w:p w14:paraId="0A3D95ED" w14:textId="77777777" w:rsidR="00992827" w:rsidRPr="006C05DD" w:rsidRDefault="00000000">
      <w:pPr>
        <w:spacing w:before="200" w:after="80"/>
        <w:rPr>
          <w:lang w:val="es-ES"/>
        </w:rPr>
      </w:pPr>
      <w:r w:rsidRPr="006C05DD">
        <w:rPr>
          <w:b/>
          <w:bCs/>
          <w:color w:val="B08A5C"/>
          <w:spacing w:val="30"/>
          <w:sz w:val="16"/>
          <w:szCs w:val="16"/>
          <w:lang w:val="es-ES"/>
        </w:rPr>
        <w:t>5 · FORMACIÓN Y HANDOVER</w:t>
      </w:r>
    </w:p>
    <w:p w14:paraId="77AD54D3" w14:textId="77777777" w:rsidR="00992827" w:rsidRPr="006C05DD" w:rsidRDefault="00000000">
      <w:pPr>
        <w:pStyle w:val="Heading1"/>
        <w:spacing w:before="160" w:after="240"/>
        <w:rPr>
          <w:lang w:val="es-ES"/>
        </w:rPr>
      </w:pPr>
      <w:r w:rsidRPr="006C05DD">
        <w:rPr>
          <w:lang w:val="es-ES"/>
        </w:rPr>
        <w:t>La adopción como parte del entregable</w:t>
      </w:r>
    </w:p>
    <w:p w14:paraId="4F9C178A" w14:textId="77777777" w:rsidR="00992827" w:rsidRPr="006C05DD" w:rsidRDefault="00000000">
      <w:pPr>
        <w:spacing w:after="160" w:line="320" w:lineRule="auto"/>
        <w:jc w:val="both"/>
        <w:rPr>
          <w:lang w:val="es-ES"/>
        </w:rPr>
      </w:pPr>
      <w:r w:rsidRPr="006C05DD">
        <w:rPr>
          <w:lang w:val="es-ES"/>
        </w:rPr>
        <w:t>Cada fase incluye un bloque estructurado de formación al equipo del departamento entregado. La meta es que el equipo de RIVA opere de manera autónoma desde la primera semana posterior al go-live, sin dependencia del equipo de Viddix para la operativa diaria.</w:t>
      </w:r>
    </w:p>
    <w:p w14:paraId="323FF0C3" w14:textId="77777777" w:rsidR="00992827" w:rsidRDefault="00000000">
      <w:pPr>
        <w:pStyle w:val="Heading3"/>
      </w:pPr>
      <w:r>
        <w:t>Estructura estándar por fase</w:t>
      </w:r>
    </w:p>
    <w:p w14:paraId="5A042455" w14:textId="77777777" w:rsidR="00992827" w:rsidRPr="006C05DD" w:rsidRDefault="00000000">
      <w:pPr>
        <w:pStyle w:val="ListParagraph"/>
        <w:numPr>
          <w:ilvl w:val="0"/>
          <w:numId w:val="2"/>
        </w:numPr>
        <w:spacing w:after="100" w:line="300" w:lineRule="auto"/>
        <w:rPr>
          <w:lang w:val="es-ES"/>
        </w:rPr>
      </w:pPr>
      <w:r w:rsidRPr="006C05DD">
        <w:rPr>
          <w:b/>
          <w:bCs/>
          <w:color w:val="5C3A20"/>
          <w:lang w:val="es-ES"/>
        </w:rPr>
        <w:t>Onboarding</w:t>
      </w:r>
      <w:r w:rsidRPr="006C05DD">
        <w:rPr>
          <w:lang w:val="es-ES"/>
        </w:rPr>
        <w:t xml:space="preserve"> — con el equipo completo del departamento.</w:t>
      </w:r>
    </w:p>
    <w:p w14:paraId="6BF2B342" w14:textId="77777777" w:rsidR="00992827" w:rsidRPr="006C05DD" w:rsidRDefault="00000000">
      <w:pPr>
        <w:pStyle w:val="ListParagraph"/>
        <w:numPr>
          <w:ilvl w:val="0"/>
          <w:numId w:val="2"/>
        </w:numPr>
        <w:spacing w:after="100" w:line="300" w:lineRule="auto"/>
        <w:rPr>
          <w:lang w:val="es-ES"/>
        </w:rPr>
      </w:pPr>
      <w:r w:rsidRPr="006C05DD">
        <w:rPr>
          <w:b/>
          <w:bCs/>
          <w:color w:val="5C3A20"/>
          <w:lang w:val="es-ES"/>
        </w:rPr>
        <w:t>Profundización</w:t>
      </w:r>
      <w:r w:rsidRPr="006C05DD">
        <w:rPr>
          <w:lang w:val="es-ES"/>
        </w:rPr>
        <w:t xml:space="preserve"> — con el responsable del departamento.</w:t>
      </w:r>
    </w:p>
    <w:p w14:paraId="58D3D7C5" w14:textId="77777777" w:rsidR="00992827" w:rsidRPr="006C05DD" w:rsidRDefault="00000000">
      <w:pPr>
        <w:pStyle w:val="ListParagraph"/>
        <w:numPr>
          <w:ilvl w:val="0"/>
          <w:numId w:val="2"/>
        </w:numPr>
        <w:spacing w:after="100" w:line="300" w:lineRule="auto"/>
        <w:rPr>
          <w:lang w:val="es-ES"/>
        </w:rPr>
      </w:pPr>
      <w:r w:rsidRPr="006C05DD">
        <w:rPr>
          <w:b/>
          <w:bCs/>
          <w:color w:val="5C3A20"/>
          <w:lang w:val="es-ES"/>
        </w:rPr>
        <w:t>Sesión Q&amp;A semanal</w:t>
      </w:r>
      <w:r w:rsidRPr="006C05DD">
        <w:rPr>
          <w:lang w:val="es-ES"/>
        </w:rPr>
        <w:t xml:space="preserve"> — durante las cuatro semanas de soporte post-lanzamiento.</w:t>
      </w:r>
    </w:p>
    <w:p w14:paraId="520996E1" w14:textId="77777777" w:rsidR="00992827" w:rsidRPr="006C05DD" w:rsidRDefault="00000000">
      <w:pPr>
        <w:pStyle w:val="ListParagraph"/>
        <w:numPr>
          <w:ilvl w:val="0"/>
          <w:numId w:val="2"/>
        </w:numPr>
        <w:spacing w:after="100" w:line="300" w:lineRule="auto"/>
        <w:rPr>
          <w:lang w:val="es-ES"/>
        </w:rPr>
      </w:pPr>
      <w:r w:rsidRPr="006C05DD">
        <w:rPr>
          <w:b/>
          <w:bCs/>
          <w:color w:val="5C3A20"/>
          <w:lang w:val="es-ES"/>
        </w:rPr>
        <w:t>Material persistente</w:t>
      </w:r>
      <w:r w:rsidRPr="006C05DD">
        <w:rPr>
          <w:lang w:val="es-ES"/>
        </w:rPr>
        <w:t xml:space="preserve"> — manual del módulo, vídeos screencast de los flujos principales, guía de automatizaciones activas.</w:t>
      </w:r>
    </w:p>
    <w:p w14:paraId="54EE084F" w14:textId="77777777" w:rsidR="00992827" w:rsidRPr="006C05DD" w:rsidRDefault="00992827">
      <w:pPr>
        <w:spacing w:before="200"/>
        <w:rPr>
          <w:lang w:val="es-E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92827" w:rsidRPr="006D34AE" w14:paraId="5881F7BC" w14:textId="77777777">
        <w:tblPrEx>
          <w:tblCellMar>
            <w:top w:w="0" w:type="dxa"/>
            <w:bottom w:w="0" w:type="dxa"/>
          </w:tblCellMar>
        </w:tblPrEx>
        <w:tc>
          <w:tcPr>
            <w:tcW w:w="9026" w:type="dxa"/>
            <w:tcBorders>
              <w:top w:val="single" w:sz="2" w:space="0" w:color="9AA08A"/>
              <w:left w:val="single" w:sz="28" w:space="0" w:color="9AA08A"/>
              <w:bottom w:val="single" w:sz="2" w:space="0" w:color="9AA08A"/>
              <w:right w:val="single" w:sz="2" w:space="0" w:color="9AA08A"/>
            </w:tcBorders>
            <w:shd w:val="clear" w:color="auto" w:fill="F4F1EC"/>
            <w:tcMar>
              <w:top w:w="220" w:type="dxa"/>
              <w:left w:w="280" w:type="dxa"/>
              <w:bottom w:w="220" w:type="dxa"/>
              <w:right w:w="220" w:type="dxa"/>
            </w:tcMar>
          </w:tcPr>
          <w:p w14:paraId="4AC19EFB" w14:textId="4840F5ED" w:rsidR="00992827" w:rsidRPr="006C05DD" w:rsidRDefault="00000000">
            <w:pPr>
              <w:spacing w:after="100"/>
              <w:rPr>
                <w:lang w:val="es-ES"/>
              </w:rPr>
            </w:pPr>
            <w:r w:rsidRPr="006C05DD">
              <w:rPr>
                <w:b/>
                <w:bCs/>
                <w:color w:val="9AA08A"/>
                <w:spacing w:val="30"/>
                <w:sz w:val="16"/>
                <w:szCs w:val="16"/>
                <w:lang w:val="es-ES"/>
              </w:rPr>
              <w:t xml:space="preserve">SOPORTE CONTINUO POST-HANDOVER </w:t>
            </w:r>
            <w:r w:rsidR="006D34AE">
              <w:rPr>
                <w:b/>
                <w:bCs/>
                <w:color w:val="9AA08A"/>
                <w:spacing w:val="30"/>
                <w:sz w:val="16"/>
                <w:szCs w:val="16"/>
                <w:lang w:val="es-ES"/>
              </w:rPr>
              <w:t>+</w:t>
            </w:r>
            <w:r w:rsidRPr="006C05DD">
              <w:rPr>
                <w:b/>
                <w:bCs/>
                <w:color w:val="9AA08A"/>
                <w:spacing w:val="30"/>
                <w:sz w:val="16"/>
                <w:szCs w:val="16"/>
                <w:lang w:val="es-ES"/>
              </w:rPr>
              <w:t xml:space="preserve"> AGENTE IA</w:t>
            </w:r>
          </w:p>
          <w:p w14:paraId="23A2F82C" w14:textId="77777777" w:rsidR="006D34AE" w:rsidRDefault="00000000">
            <w:pPr>
              <w:spacing w:after="60" w:line="280" w:lineRule="auto"/>
              <w:rPr>
                <w:sz w:val="21"/>
                <w:szCs w:val="21"/>
                <w:lang w:val="es-ES"/>
              </w:rPr>
            </w:pPr>
            <w:r w:rsidRPr="006C05DD">
              <w:rPr>
                <w:sz w:val="21"/>
                <w:szCs w:val="21"/>
                <w:lang w:val="es-ES"/>
              </w:rPr>
              <w:t xml:space="preserve">Tras el handover de cada fase, el equipo del departamento dispone de un agente de inteligencia artificial entrenado sobre el módulo entregado, sus automatizaciones y su documentación. </w:t>
            </w:r>
          </w:p>
          <w:p w14:paraId="00FCECB0" w14:textId="7F27598A" w:rsidR="00992827" w:rsidRPr="006C05DD" w:rsidRDefault="00000000">
            <w:pPr>
              <w:spacing w:after="60" w:line="280" w:lineRule="auto"/>
              <w:rPr>
                <w:lang w:val="es-ES"/>
              </w:rPr>
            </w:pPr>
            <w:r w:rsidRPr="006C05DD">
              <w:rPr>
                <w:sz w:val="21"/>
                <w:szCs w:val="21"/>
                <w:lang w:val="es-ES"/>
              </w:rPr>
              <w:t>El agente responde a consultas operativas en lenguaje natural — desde "¿cómo creo una OC sugerida?" hasta "¿por qué esta factura no se ha conciliado?" — durante 24 / 7.</w:t>
            </w:r>
          </w:p>
          <w:p w14:paraId="0210C5D4" w14:textId="21C41F50" w:rsidR="00992827" w:rsidRPr="006D34AE" w:rsidRDefault="00000000">
            <w:pPr>
              <w:spacing w:after="60" w:line="280" w:lineRule="auto"/>
              <w:rPr>
                <w:lang w:val="es-ES"/>
              </w:rPr>
            </w:pPr>
            <w:r w:rsidRPr="006C05DD">
              <w:rPr>
                <w:sz w:val="21"/>
                <w:szCs w:val="21"/>
                <w:lang w:val="es-ES"/>
              </w:rPr>
              <w:t xml:space="preserve">Cuando una consulta excede lo que el agente puede resolver — incidencias técnicas, decisiones de configuración, ajustes funcionales — la cuestión escala automáticamente al equipo de Viddix. </w:t>
            </w:r>
          </w:p>
        </w:tc>
      </w:tr>
    </w:tbl>
    <w:p w14:paraId="0D09C299" w14:textId="77777777" w:rsidR="00992827" w:rsidRDefault="00000000">
      <w:pPr>
        <w:pStyle w:val="Heading3"/>
      </w:pPr>
      <w:r>
        <w:rPr>
          <w:color w:val="B08A5C"/>
        </w:rPr>
        <w:t>Al cierre del programa</w:t>
      </w:r>
    </w:p>
    <w:p w14:paraId="4A7B23E6" w14:textId="77777777" w:rsidR="00992827" w:rsidRPr="006C05DD" w:rsidRDefault="00000000">
      <w:pPr>
        <w:spacing w:after="160" w:line="320" w:lineRule="auto"/>
        <w:jc w:val="both"/>
        <w:rPr>
          <w:lang w:val="es-ES"/>
        </w:rPr>
      </w:pPr>
      <w:r w:rsidRPr="006C05DD">
        <w:rPr>
          <w:lang w:val="es-ES"/>
        </w:rPr>
        <w:t>Al cierre del Mes 15, el equipo de RIVA opera el Hub completo sin dependencia de Viddix para la operativa diaria. La modificación de automatizaciones, la creación de nuevas reglas, la configuración de permisos y la administración de roles son tareas que el equipo realiza de forma autónoma, con el agente IA siempre disponible como soporte de primer nivel.</w:t>
      </w:r>
    </w:p>
    <w:p w14:paraId="711D10DC" w14:textId="77777777" w:rsidR="00992827" w:rsidRPr="006C05DD" w:rsidRDefault="00000000">
      <w:pPr>
        <w:rPr>
          <w:lang w:val="es-ES"/>
        </w:rPr>
      </w:pPr>
      <w:r w:rsidRPr="006C05DD">
        <w:rPr>
          <w:lang w:val="es-ES"/>
        </w:rPr>
        <w:br w:type="page"/>
      </w:r>
    </w:p>
    <w:p w14:paraId="031CADC1" w14:textId="77777777" w:rsidR="00992827" w:rsidRPr="006C05DD" w:rsidRDefault="00000000">
      <w:pPr>
        <w:spacing w:before="200" w:after="80"/>
        <w:rPr>
          <w:lang w:val="es-ES"/>
        </w:rPr>
      </w:pPr>
      <w:r w:rsidRPr="006C05DD">
        <w:rPr>
          <w:b/>
          <w:bCs/>
          <w:color w:val="9AA08A"/>
          <w:spacing w:val="30"/>
          <w:sz w:val="16"/>
          <w:szCs w:val="16"/>
          <w:lang w:val="es-ES"/>
        </w:rPr>
        <w:t>6 · EQUIPO ASIGNADO</w:t>
      </w:r>
    </w:p>
    <w:p w14:paraId="7E4272E4" w14:textId="77777777" w:rsidR="00992827" w:rsidRPr="006C05DD" w:rsidRDefault="00000000">
      <w:pPr>
        <w:pStyle w:val="Heading1"/>
        <w:spacing w:before="160" w:after="240"/>
        <w:rPr>
          <w:lang w:val="es-ES"/>
        </w:rPr>
      </w:pPr>
      <w:r w:rsidRPr="006C05DD">
        <w:rPr>
          <w:lang w:val="es-ES"/>
        </w:rPr>
        <w:t>Equipo dedicado durante los 15 meses</w:t>
      </w:r>
    </w:p>
    <w:p w14:paraId="563E945B" w14:textId="77777777" w:rsidR="00992827" w:rsidRPr="006C05DD" w:rsidRDefault="00000000">
      <w:pPr>
        <w:spacing w:after="160" w:line="320" w:lineRule="auto"/>
        <w:jc w:val="both"/>
        <w:rPr>
          <w:lang w:val="es-ES"/>
        </w:rPr>
      </w:pPr>
      <w:r w:rsidRPr="006C05DD">
        <w:rPr>
          <w:lang w:val="es-ES"/>
        </w:rPr>
        <w:t>El equipo dedicado al programa durante toda la duración se compone de los tres perfiles siguientes. Punto de contacto único asignado a The RIVA Company. Reuniones de seguimiento quincenales con el responsable del departamento activo y mensuales con dirección.</w:t>
      </w:r>
    </w:p>
    <w:p w14:paraId="39CE5DD2" w14:textId="77777777" w:rsidR="00992827" w:rsidRPr="006C05DD" w:rsidRDefault="00992827">
      <w:pPr>
        <w:spacing w:before="100" w:after="100"/>
        <w:rPr>
          <w:lang w:val="es-E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226"/>
      </w:tblGrid>
      <w:tr w:rsidR="00992827" w:rsidRPr="006C05DD" w14:paraId="6C1890E7" w14:textId="77777777">
        <w:tblPrEx>
          <w:tblCellMar>
            <w:top w:w="0" w:type="dxa"/>
            <w:bottom w:w="0" w:type="dxa"/>
          </w:tblCellMar>
        </w:tblPrEx>
        <w:tc>
          <w:tcPr>
            <w:tcW w:w="800" w:type="dxa"/>
            <w:tcBorders>
              <w:top w:val="single" w:sz="2" w:space="0" w:color="D8D4CD"/>
              <w:left w:val="none" w:sz="0" w:space="0" w:color="FFFFFF"/>
              <w:bottom w:val="single" w:sz="2" w:space="0" w:color="D8D4CD"/>
              <w:right w:val="single" w:sz="2" w:space="0" w:color="D8D4CD"/>
            </w:tcBorders>
            <w:shd w:val="clear" w:color="auto" w:fill="5C3A20"/>
            <w:tcMar>
              <w:top w:w="240" w:type="dxa"/>
              <w:left w:w="200" w:type="dxa"/>
              <w:bottom w:w="240" w:type="dxa"/>
              <w:right w:w="160" w:type="dxa"/>
            </w:tcMar>
            <w:vAlign w:val="center"/>
          </w:tcPr>
          <w:p w14:paraId="3CF2174F" w14:textId="77777777" w:rsidR="00992827" w:rsidRDefault="00000000">
            <w:pPr>
              <w:jc w:val="center"/>
            </w:pPr>
            <w:r>
              <w:rPr>
                <w:b/>
                <w:bCs/>
                <w:color w:val="F4F1EC"/>
                <w:spacing w:val="20"/>
              </w:rPr>
              <w:t>PC</w:t>
            </w:r>
          </w:p>
        </w:tc>
        <w:tc>
          <w:tcPr>
            <w:tcW w:w="8226" w:type="dxa"/>
            <w:tcBorders>
              <w:top w:val="single" w:sz="2" w:space="0" w:color="D8D4CD"/>
              <w:left w:val="none" w:sz="0" w:space="0" w:color="FFFFFF"/>
              <w:bottom w:val="single" w:sz="2" w:space="0" w:color="D8D4CD"/>
              <w:right w:val="none" w:sz="0" w:space="0" w:color="FFFFFF"/>
            </w:tcBorders>
            <w:tcMar>
              <w:top w:w="240" w:type="dxa"/>
              <w:left w:w="240" w:type="dxa"/>
              <w:bottom w:w="240" w:type="dxa"/>
              <w:right w:w="200" w:type="dxa"/>
            </w:tcMar>
            <w:vAlign w:val="center"/>
          </w:tcPr>
          <w:p w14:paraId="2E74F942" w14:textId="77777777" w:rsidR="00992827" w:rsidRPr="006C05DD" w:rsidRDefault="00000000">
            <w:pPr>
              <w:spacing w:after="60"/>
              <w:rPr>
                <w:lang w:val="es-ES"/>
              </w:rPr>
            </w:pPr>
            <w:r w:rsidRPr="006C05DD">
              <w:rPr>
                <w:b/>
                <w:bCs/>
                <w:color w:val="1A1A1A"/>
                <w:sz w:val="26"/>
                <w:szCs w:val="26"/>
                <w:lang w:val="es-ES"/>
              </w:rPr>
              <w:t>Pablo Capita</w:t>
            </w:r>
          </w:p>
          <w:p w14:paraId="588B1E5C" w14:textId="77777777" w:rsidR="00992827" w:rsidRPr="006C05DD" w:rsidRDefault="00000000">
            <w:pPr>
              <w:rPr>
                <w:lang w:val="es-ES"/>
              </w:rPr>
            </w:pPr>
            <w:r w:rsidRPr="006C05DD">
              <w:rPr>
                <w:sz w:val="21"/>
                <w:szCs w:val="21"/>
                <w:lang w:val="es-ES"/>
              </w:rPr>
              <w:t>Automatizaciones, webhooks e integraciones entre sistemas. Responsable del motor de reglas, conectores con QuickBooks, Stripe, Square y resto del stack, y del catálogo de flujos cross-departamentales.</w:t>
            </w:r>
          </w:p>
        </w:tc>
      </w:tr>
      <w:tr w:rsidR="00992827" w:rsidRPr="006C05DD" w14:paraId="758C232E" w14:textId="77777777">
        <w:tblPrEx>
          <w:tblCellMar>
            <w:top w:w="0" w:type="dxa"/>
            <w:bottom w:w="0" w:type="dxa"/>
          </w:tblCellMar>
        </w:tblPrEx>
        <w:tc>
          <w:tcPr>
            <w:tcW w:w="800" w:type="dxa"/>
            <w:tcBorders>
              <w:top w:val="single" w:sz="2" w:space="0" w:color="D8D4CD"/>
              <w:left w:val="none" w:sz="0" w:space="0" w:color="FFFFFF"/>
              <w:bottom w:val="single" w:sz="2" w:space="0" w:color="D8D4CD"/>
              <w:right w:val="single" w:sz="2" w:space="0" w:color="D8D4CD"/>
            </w:tcBorders>
            <w:shd w:val="clear" w:color="auto" w:fill="B08A5C"/>
            <w:tcMar>
              <w:top w:w="240" w:type="dxa"/>
              <w:left w:w="200" w:type="dxa"/>
              <w:bottom w:w="240" w:type="dxa"/>
              <w:right w:w="160" w:type="dxa"/>
            </w:tcMar>
            <w:vAlign w:val="center"/>
          </w:tcPr>
          <w:p w14:paraId="057BD3D3" w14:textId="77777777" w:rsidR="00992827" w:rsidRDefault="00000000">
            <w:pPr>
              <w:jc w:val="center"/>
            </w:pPr>
            <w:r>
              <w:rPr>
                <w:b/>
                <w:bCs/>
                <w:color w:val="F4F1EC"/>
                <w:spacing w:val="20"/>
              </w:rPr>
              <w:t>PM</w:t>
            </w:r>
          </w:p>
        </w:tc>
        <w:tc>
          <w:tcPr>
            <w:tcW w:w="8226" w:type="dxa"/>
            <w:tcBorders>
              <w:top w:val="single" w:sz="2" w:space="0" w:color="D8D4CD"/>
              <w:left w:val="none" w:sz="0" w:space="0" w:color="FFFFFF"/>
              <w:bottom w:val="single" w:sz="2" w:space="0" w:color="D8D4CD"/>
              <w:right w:val="none" w:sz="0" w:space="0" w:color="FFFFFF"/>
            </w:tcBorders>
            <w:tcMar>
              <w:top w:w="240" w:type="dxa"/>
              <w:left w:w="240" w:type="dxa"/>
              <w:bottom w:w="240" w:type="dxa"/>
              <w:right w:w="200" w:type="dxa"/>
            </w:tcMar>
            <w:vAlign w:val="center"/>
          </w:tcPr>
          <w:p w14:paraId="7A79FA53" w14:textId="77777777" w:rsidR="00992827" w:rsidRPr="006C05DD" w:rsidRDefault="00000000">
            <w:pPr>
              <w:spacing w:after="60"/>
              <w:rPr>
                <w:lang w:val="es-ES"/>
              </w:rPr>
            </w:pPr>
            <w:r w:rsidRPr="006C05DD">
              <w:rPr>
                <w:b/>
                <w:bCs/>
                <w:color w:val="1A1A1A"/>
                <w:sz w:val="26"/>
                <w:szCs w:val="26"/>
                <w:lang w:val="es-ES"/>
              </w:rPr>
              <w:t>Pablo Martín</w:t>
            </w:r>
          </w:p>
          <w:p w14:paraId="34853698" w14:textId="77777777" w:rsidR="00992827" w:rsidRPr="006C05DD" w:rsidRDefault="00000000">
            <w:pPr>
              <w:rPr>
                <w:lang w:val="es-ES"/>
              </w:rPr>
            </w:pPr>
            <w:r w:rsidRPr="006C05DD">
              <w:rPr>
                <w:sz w:val="21"/>
                <w:szCs w:val="21"/>
                <w:lang w:val="es-ES"/>
              </w:rPr>
              <w:t>Backend y arquitectura técnica. Responsable del modelo de datos, las APIs, infraestructura, despliegues, integridad de los procesos automatizados y rendimiento de la plataforma.</w:t>
            </w:r>
          </w:p>
        </w:tc>
      </w:tr>
      <w:tr w:rsidR="00992827" w:rsidRPr="006C05DD" w14:paraId="1166B176" w14:textId="77777777">
        <w:tblPrEx>
          <w:tblCellMar>
            <w:top w:w="0" w:type="dxa"/>
            <w:bottom w:w="0" w:type="dxa"/>
          </w:tblCellMar>
        </w:tblPrEx>
        <w:tc>
          <w:tcPr>
            <w:tcW w:w="800" w:type="dxa"/>
            <w:tcBorders>
              <w:top w:val="single" w:sz="2" w:space="0" w:color="D8D4CD"/>
              <w:left w:val="none" w:sz="0" w:space="0" w:color="FFFFFF"/>
              <w:bottom w:val="single" w:sz="2" w:space="0" w:color="D8D4CD"/>
              <w:right w:val="single" w:sz="2" w:space="0" w:color="D8D4CD"/>
            </w:tcBorders>
            <w:shd w:val="clear" w:color="auto" w:fill="9AA08A"/>
            <w:tcMar>
              <w:top w:w="240" w:type="dxa"/>
              <w:left w:w="200" w:type="dxa"/>
              <w:bottom w:w="240" w:type="dxa"/>
              <w:right w:w="160" w:type="dxa"/>
            </w:tcMar>
            <w:vAlign w:val="center"/>
          </w:tcPr>
          <w:p w14:paraId="1C2EA43C" w14:textId="77777777" w:rsidR="00992827" w:rsidRDefault="00000000">
            <w:pPr>
              <w:jc w:val="center"/>
            </w:pPr>
            <w:r>
              <w:rPr>
                <w:b/>
                <w:bCs/>
                <w:color w:val="F4F1EC"/>
                <w:spacing w:val="20"/>
              </w:rPr>
              <w:t>PS</w:t>
            </w:r>
          </w:p>
        </w:tc>
        <w:tc>
          <w:tcPr>
            <w:tcW w:w="8226" w:type="dxa"/>
            <w:tcBorders>
              <w:top w:val="single" w:sz="2" w:space="0" w:color="D8D4CD"/>
              <w:left w:val="none" w:sz="0" w:space="0" w:color="FFFFFF"/>
              <w:bottom w:val="single" w:sz="2" w:space="0" w:color="D8D4CD"/>
              <w:right w:val="none" w:sz="0" w:space="0" w:color="FFFFFF"/>
            </w:tcBorders>
            <w:tcMar>
              <w:top w:w="240" w:type="dxa"/>
              <w:left w:w="240" w:type="dxa"/>
              <w:bottom w:w="240" w:type="dxa"/>
              <w:right w:w="200" w:type="dxa"/>
            </w:tcMar>
            <w:vAlign w:val="center"/>
          </w:tcPr>
          <w:p w14:paraId="445F4379" w14:textId="77777777" w:rsidR="00992827" w:rsidRPr="006C05DD" w:rsidRDefault="00000000">
            <w:pPr>
              <w:spacing w:after="60"/>
              <w:rPr>
                <w:lang w:val="es-ES"/>
              </w:rPr>
            </w:pPr>
            <w:r w:rsidRPr="006C05DD">
              <w:rPr>
                <w:b/>
                <w:bCs/>
                <w:color w:val="1A1A1A"/>
                <w:sz w:val="26"/>
                <w:szCs w:val="26"/>
                <w:lang w:val="es-ES"/>
              </w:rPr>
              <w:t>Pablo Sanz</w:t>
            </w:r>
          </w:p>
          <w:p w14:paraId="15AC6335" w14:textId="77777777" w:rsidR="00992827" w:rsidRPr="006C05DD" w:rsidRDefault="00000000">
            <w:pPr>
              <w:rPr>
                <w:lang w:val="es-ES"/>
              </w:rPr>
            </w:pPr>
            <w:r w:rsidRPr="006C05DD">
              <w:rPr>
                <w:sz w:val="21"/>
                <w:szCs w:val="21"/>
                <w:lang w:val="es-ES"/>
              </w:rPr>
              <w:t>UI / UX, diseño y project management. Responsable de la experiencia de usuario, el sistema de diseño aplicado al Hub, la coordinación de cada fase y el punto de contacto único con The RIVA Company.</w:t>
            </w:r>
          </w:p>
        </w:tc>
      </w:tr>
    </w:tbl>
    <w:p w14:paraId="2BB2C11A" w14:textId="77777777" w:rsidR="00992827" w:rsidRPr="006C05DD" w:rsidRDefault="00000000">
      <w:pPr>
        <w:spacing w:before="200" w:after="80"/>
        <w:rPr>
          <w:lang w:val="es-ES"/>
        </w:rPr>
      </w:pPr>
      <w:r w:rsidRPr="006C05DD">
        <w:rPr>
          <w:b/>
          <w:bCs/>
          <w:color w:val="5C3A20"/>
          <w:spacing w:val="30"/>
          <w:sz w:val="16"/>
          <w:szCs w:val="16"/>
          <w:lang w:val="es-ES"/>
        </w:rPr>
        <w:t>7 · HITOS Y ENTREGAS</w:t>
      </w:r>
    </w:p>
    <w:p w14:paraId="03A6D5FF" w14:textId="77777777" w:rsidR="00992827" w:rsidRPr="006C05DD" w:rsidRDefault="00000000">
      <w:pPr>
        <w:pStyle w:val="Heading1"/>
        <w:spacing w:before="160" w:after="240"/>
        <w:rPr>
          <w:lang w:val="es-ES"/>
        </w:rPr>
      </w:pPr>
      <w:r w:rsidRPr="006C05DD">
        <w:rPr>
          <w:lang w:val="es-ES"/>
        </w:rPr>
        <w:t>2 hitos verificables por fase</w:t>
      </w:r>
    </w:p>
    <w:p w14:paraId="326C390E" w14:textId="77777777" w:rsidR="00992827" w:rsidRPr="006C05DD" w:rsidRDefault="00992827">
      <w:pPr>
        <w:spacing w:before="100"/>
        <w:rPr>
          <w:lang w:val="es-E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92827" w:rsidRPr="006C05DD" w14:paraId="1708DA4D" w14:textId="77777777">
        <w:tblPrEx>
          <w:tblCellMar>
            <w:top w:w="0" w:type="dxa"/>
            <w:bottom w:w="0" w:type="dxa"/>
          </w:tblCellMar>
        </w:tblPrEx>
        <w:tc>
          <w:tcPr>
            <w:tcW w:w="9026" w:type="dxa"/>
            <w:tcBorders>
              <w:top w:val="single" w:sz="2" w:space="0" w:color="5C3A20"/>
              <w:left w:val="single" w:sz="28" w:space="0" w:color="5C3A20"/>
              <w:bottom w:val="single" w:sz="2" w:space="0" w:color="5C3A20"/>
              <w:right w:val="single" w:sz="2" w:space="0" w:color="5C3A20"/>
            </w:tcBorders>
            <w:shd w:val="clear" w:color="auto" w:fill="F4F1EC"/>
            <w:tcMar>
              <w:top w:w="220" w:type="dxa"/>
              <w:left w:w="280" w:type="dxa"/>
              <w:bottom w:w="220" w:type="dxa"/>
              <w:right w:w="220" w:type="dxa"/>
            </w:tcMar>
          </w:tcPr>
          <w:p w14:paraId="7CD5A85F" w14:textId="77777777" w:rsidR="00992827" w:rsidRPr="006C05DD" w:rsidRDefault="00000000">
            <w:pPr>
              <w:spacing w:after="100"/>
              <w:rPr>
                <w:lang w:val="es-ES"/>
              </w:rPr>
            </w:pPr>
            <w:r w:rsidRPr="006C05DD">
              <w:rPr>
                <w:b/>
                <w:bCs/>
                <w:color w:val="5C3A20"/>
                <w:spacing w:val="30"/>
                <w:sz w:val="16"/>
                <w:szCs w:val="16"/>
                <w:lang w:val="es-ES"/>
              </w:rPr>
              <w:t>HITO TÉCNICO</w:t>
            </w:r>
          </w:p>
          <w:p w14:paraId="2BA93FFF" w14:textId="77777777" w:rsidR="00992827" w:rsidRPr="006C05DD" w:rsidRDefault="00000000">
            <w:pPr>
              <w:spacing w:after="60" w:line="280" w:lineRule="auto"/>
              <w:rPr>
                <w:lang w:val="es-ES"/>
              </w:rPr>
            </w:pPr>
            <w:r w:rsidRPr="006C05DD">
              <w:rPr>
                <w:sz w:val="21"/>
                <w:szCs w:val="21"/>
                <w:lang w:val="es-ES"/>
              </w:rPr>
              <w:t>Módulo desplegado en producción, automatizaciones de la fase ejecutándose en estado activo, integraciones del departamento conectadas y operativas.</w:t>
            </w:r>
          </w:p>
        </w:tc>
      </w:tr>
    </w:tbl>
    <w:p w14:paraId="49AB8C72" w14:textId="77777777" w:rsidR="00992827" w:rsidRPr="006C05DD" w:rsidRDefault="00992827">
      <w:pPr>
        <w:spacing w:before="120"/>
        <w:rPr>
          <w:lang w:val="es-E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92827" w:rsidRPr="006C05DD" w14:paraId="71BE7F50" w14:textId="77777777">
        <w:tblPrEx>
          <w:tblCellMar>
            <w:top w:w="0" w:type="dxa"/>
            <w:bottom w:w="0" w:type="dxa"/>
          </w:tblCellMar>
        </w:tblPrEx>
        <w:tc>
          <w:tcPr>
            <w:tcW w:w="9026" w:type="dxa"/>
            <w:tcBorders>
              <w:top w:val="single" w:sz="2" w:space="0" w:color="9AA08A"/>
              <w:left w:val="single" w:sz="28" w:space="0" w:color="9AA08A"/>
              <w:bottom w:val="single" w:sz="2" w:space="0" w:color="9AA08A"/>
              <w:right w:val="single" w:sz="2" w:space="0" w:color="9AA08A"/>
            </w:tcBorders>
            <w:shd w:val="clear" w:color="auto" w:fill="F4F1EC"/>
            <w:tcMar>
              <w:top w:w="220" w:type="dxa"/>
              <w:left w:w="280" w:type="dxa"/>
              <w:bottom w:w="220" w:type="dxa"/>
              <w:right w:w="220" w:type="dxa"/>
            </w:tcMar>
          </w:tcPr>
          <w:p w14:paraId="5537CE66" w14:textId="77777777" w:rsidR="00992827" w:rsidRPr="006C05DD" w:rsidRDefault="00000000">
            <w:pPr>
              <w:spacing w:after="100"/>
              <w:rPr>
                <w:lang w:val="es-ES"/>
              </w:rPr>
            </w:pPr>
            <w:r w:rsidRPr="006C05DD">
              <w:rPr>
                <w:b/>
                <w:bCs/>
                <w:color w:val="9AA08A"/>
                <w:spacing w:val="30"/>
                <w:sz w:val="16"/>
                <w:szCs w:val="16"/>
                <w:lang w:val="es-ES"/>
              </w:rPr>
              <w:t>HITO DE ADOPCIÓN</w:t>
            </w:r>
          </w:p>
          <w:p w14:paraId="58F608DA" w14:textId="77777777" w:rsidR="00992827" w:rsidRPr="006C05DD" w:rsidRDefault="00000000">
            <w:pPr>
              <w:spacing w:after="60" w:line="280" w:lineRule="auto"/>
              <w:rPr>
                <w:lang w:val="es-ES"/>
              </w:rPr>
            </w:pPr>
            <w:r w:rsidRPr="006C05DD">
              <w:rPr>
                <w:sz w:val="21"/>
                <w:szCs w:val="21"/>
                <w:lang w:val="es-ES"/>
              </w:rPr>
              <w:t>El equipo del departamento ha completado el ciclo de formación descrito en §5 y ha ejecutado al menos un proceso real end-to-end en el sistema bajo acompañamiento del equipo de Viddix.</w:t>
            </w:r>
          </w:p>
        </w:tc>
      </w:tr>
    </w:tbl>
    <w:p w14:paraId="34272463" w14:textId="77777777" w:rsidR="00992827" w:rsidRPr="006C05DD" w:rsidRDefault="00992827">
      <w:pPr>
        <w:spacing w:before="200"/>
        <w:rPr>
          <w:lang w:val="es-ES"/>
        </w:rPr>
      </w:pPr>
    </w:p>
    <w:p w14:paraId="5CABBB69" w14:textId="77777777" w:rsidR="00992827" w:rsidRPr="006C05DD" w:rsidRDefault="00000000">
      <w:pPr>
        <w:spacing w:after="160" w:line="320" w:lineRule="auto"/>
        <w:jc w:val="both"/>
        <w:rPr>
          <w:lang w:val="es-ES"/>
        </w:rPr>
      </w:pPr>
      <w:r w:rsidRPr="006C05DD">
        <w:rPr>
          <w:lang w:val="es-ES"/>
        </w:rPr>
        <w:t>Ambos hitos son condición necesaria para el cierre formal de la fase y el inicio de la siguiente.</w:t>
      </w:r>
    </w:p>
    <w:p w14:paraId="434195FE" w14:textId="77777777" w:rsidR="00992827" w:rsidRPr="006C05DD" w:rsidRDefault="00000000">
      <w:pPr>
        <w:rPr>
          <w:lang w:val="es-ES"/>
        </w:rPr>
      </w:pPr>
      <w:r w:rsidRPr="006C05DD">
        <w:rPr>
          <w:lang w:val="es-ES"/>
        </w:rPr>
        <w:br w:type="page"/>
      </w:r>
    </w:p>
    <w:p w14:paraId="46240BDD" w14:textId="77777777" w:rsidR="00992827" w:rsidRPr="006C05DD" w:rsidRDefault="00000000">
      <w:pPr>
        <w:spacing w:before="200" w:after="80"/>
        <w:rPr>
          <w:lang w:val="es-ES"/>
        </w:rPr>
      </w:pPr>
      <w:r w:rsidRPr="006C05DD">
        <w:rPr>
          <w:b/>
          <w:bCs/>
          <w:color w:val="B08A5C"/>
          <w:spacing w:val="30"/>
          <w:sz w:val="16"/>
          <w:szCs w:val="16"/>
          <w:lang w:val="es-ES"/>
        </w:rPr>
        <w:t>8 · INVERSIÓN</w:t>
      </w:r>
    </w:p>
    <w:p w14:paraId="6FE7E7E9" w14:textId="77777777" w:rsidR="00992827" w:rsidRPr="006C05DD" w:rsidRDefault="00000000">
      <w:pPr>
        <w:pStyle w:val="Heading1"/>
        <w:spacing w:before="160" w:after="240"/>
        <w:rPr>
          <w:lang w:val="es-ES"/>
        </w:rPr>
      </w:pPr>
      <w:r w:rsidRPr="006C05DD">
        <w:rPr>
          <w:lang w:val="es-ES"/>
        </w:rPr>
        <w:t>Estructura económica</w:t>
      </w:r>
    </w:p>
    <w:p w14:paraId="2EB8D28D" w14:textId="77777777" w:rsidR="00992827" w:rsidRPr="006C05DD" w:rsidRDefault="00000000">
      <w:pPr>
        <w:spacing w:after="160" w:line="320" w:lineRule="auto"/>
        <w:jc w:val="both"/>
        <w:rPr>
          <w:lang w:val="es-ES"/>
        </w:rPr>
      </w:pPr>
      <w:r w:rsidRPr="006C05DD">
        <w:rPr>
          <w:lang w:val="es-ES"/>
        </w:rPr>
        <w:t>La propuesta económica se entrega como anexo separado, ajustada al alcance final acordado en el kickoff. La estructura general de inversión se compone de los siguientes elementos:</w:t>
      </w:r>
    </w:p>
    <w:p w14:paraId="03723D46" w14:textId="77777777" w:rsidR="00992827" w:rsidRPr="006C05DD" w:rsidRDefault="00000000">
      <w:pPr>
        <w:pStyle w:val="ListParagraph"/>
        <w:numPr>
          <w:ilvl w:val="0"/>
          <w:numId w:val="2"/>
        </w:numPr>
        <w:spacing w:after="100" w:line="300" w:lineRule="auto"/>
        <w:rPr>
          <w:lang w:val="es-ES"/>
        </w:rPr>
      </w:pPr>
      <w:r w:rsidRPr="006C05DD">
        <w:rPr>
          <w:b/>
          <w:bCs/>
          <w:color w:val="5C3A20"/>
          <w:lang w:val="es-ES"/>
        </w:rPr>
        <w:t>Cuota mensual</w:t>
      </w:r>
      <w:r w:rsidRPr="006C05DD">
        <w:rPr>
          <w:lang w:val="es-ES"/>
        </w:rPr>
        <w:t xml:space="preserve"> — durante los 15 meses del programa. Cubre equipo asignado, infraestructura técnica y soporte continuo durante el periodo.</w:t>
      </w:r>
    </w:p>
    <w:p w14:paraId="50A555EF" w14:textId="77777777" w:rsidR="00992827" w:rsidRPr="006C05DD" w:rsidRDefault="00000000">
      <w:pPr>
        <w:pStyle w:val="ListParagraph"/>
        <w:numPr>
          <w:ilvl w:val="0"/>
          <w:numId w:val="2"/>
        </w:numPr>
        <w:spacing w:after="100" w:line="300" w:lineRule="auto"/>
        <w:rPr>
          <w:lang w:val="es-ES"/>
        </w:rPr>
      </w:pPr>
      <w:r w:rsidRPr="006C05DD">
        <w:rPr>
          <w:b/>
          <w:bCs/>
          <w:color w:val="5C3A20"/>
          <w:lang w:val="es-ES"/>
        </w:rPr>
        <w:t>Pago por hito</w:t>
      </w:r>
      <w:r w:rsidRPr="006C05DD">
        <w:rPr>
          <w:lang w:val="es-ES"/>
        </w:rPr>
        <w:t xml:space="preserve"> — porción variable al cierre verificado de cada fase, sujeta al cumplimiento de los dos hitos descritos en §7.</w:t>
      </w:r>
    </w:p>
    <w:p w14:paraId="71DE91CE" w14:textId="77777777" w:rsidR="00992827" w:rsidRPr="006C05DD" w:rsidRDefault="00000000">
      <w:pPr>
        <w:pStyle w:val="ListParagraph"/>
        <w:numPr>
          <w:ilvl w:val="0"/>
          <w:numId w:val="2"/>
        </w:numPr>
        <w:spacing w:after="100" w:line="300" w:lineRule="auto"/>
        <w:rPr>
          <w:lang w:val="es-ES"/>
        </w:rPr>
      </w:pPr>
      <w:r w:rsidRPr="006C05DD">
        <w:rPr>
          <w:b/>
          <w:bCs/>
          <w:color w:val="5C3A20"/>
          <w:lang w:val="es-ES"/>
        </w:rPr>
        <w:t>Soporte ongoing post-programa</w:t>
      </w:r>
      <w:r w:rsidRPr="006C05DD">
        <w:rPr>
          <w:lang w:val="es-ES"/>
        </w:rPr>
        <w:t xml:space="preserve"> — retainer mensual al cierre del Mes 15. Cubre nuevas automatizaciones, ajustes funcionales, soporte ante incidencias y mantenimiento del CRM.</w:t>
      </w:r>
    </w:p>
    <w:p w14:paraId="028C7FD4" w14:textId="77777777" w:rsidR="00992827" w:rsidRPr="006C05DD" w:rsidRDefault="00000000">
      <w:pPr>
        <w:spacing w:before="200" w:after="80"/>
        <w:rPr>
          <w:lang w:val="es-ES"/>
        </w:rPr>
      </w:pPr>
      <w:r w:rsidRPr="006C05DD">
        <w:rPr>
          <w:b/>
          <w:bCs/>
          <w:color w:val="9AA08A"/>
          <w:spacing w:val="30"/>
          <w:sz w:val="16"/>
          <w:szCs w:val="16"/>
          <w:lang w:val="es-ES"/>
        </w:rPr>
        <w:t>9 · PRÓXIMOS PASOS</w:t>
      </w:r>
    </w:p>
    <w:p w14:paraId="6310A262" w14:textId="77777777" w:rsidR="00992827" w:rsidRPr="006C05DD" w:rsidRDefault="00000000">
      <w:pPr>
        <w:pStyle w:val="Heading1"/>
        <w:spacing w:before="160" w:after="240"/>
        <w:rPr>
          <w:lang w:val="es-ES"/>
        </w:rPr>
      </w:pPr>
      <w:r w:rsidRPr="006C05DD">
        <w:rPr>
          <w:lang w:val="es-ES"/>
        </w:rPr>
        <w:t>De aquí al kickoff</w:t>
      </w:r>
    </w:p>
    <w:p w14:paraId="1032768E" w14:textId="5D51A166" w:rsidR="00992827" w:rsidRPr="006C05DD" w:rsidRDefault="00000000">
      <w:pPr>
        <w:pStyle w:val="ListParagraph"/>
        <w:numPr>
          <w:ilvl w:val="0"/>
          <w:numId w:val="3"/>
        </w:numPr>
        <w:spacing w:after="140" w:line="320" w:lineRule="auto"/>
        <w:rPr>
          <w:lang w:val="es-ES"/>
        </w:rPr>
      </w:pPr>
      <w:r w:rsidRPr="006C05DD">
        <w:rPr>
          <w:lang w:val="es-ES"/>
        </w:rPr>
        <w:t>Validación del alcance descrito por parte del comité de dirección de RIVA.</w:t>
      </w:r>
    </w:p>
    <w:p w14:paraId="7AFACDBF" w14:textId="77777777" w:rsidR="00992827" w:rsidRDefault="00000000">
      <w:pPr>
        <w:pStyle w:val="ListParagraph"/>
        <w:numPr>
          <w:ilvl w:val="0"/>
          <w:numId w:val="3"/>
        </w:numPr>
        <w:spacing w:after="140" w:line="320" w:lineRule="auto"/>
      </w:pPr>
      <w:r>
        <w:t>Firma del contrato.</w:t>
      </w:r>
    </w:p>
    <w:p w14:paraId="02B40004" w14:textId="77777777" w:rsidR="00992827" w:rsidRPr="006C05DD" w:rsidRDefault="00000000">
      <w:pPr>
        <w:pStyle w:val="ListParagraph"/>
        <w:numPr>
          <w:ilvl w:val="0"/>
          <w:numId w:val="3"/>
        </w:numPr>
        <w:spacing w:after="140" w:line="320" w:lineRule="auto"/>
        <w:rPr>
          <w:lang w:val="es-ES"/>
        </w:rPr>
      </w:pPr>
      <w:r w:rsidRPr="006C05DD">
        <w:rPr>
          <w:lang w:val="es-ES"/>
        </w:rPr>
        <w:t>Kickoff: definición de canales de comunicación, accesos a integraciones y configuración del agente IA por departamento.</w:t>
      </w:r>
    </w:p>
    <w:p w14:paraId="4E715505" w14:textId="77777777" w:rsidR="00992827" w:rsidRPr="006C05DD" w:rsidRDefault="00000000">
      <w:pPr>
        <w:pStyle w:val="ListParagraph"/>
        <w:numPr>
          <w:ilvl w:val="0"/>
          <w:numId w:val="3"/>
        </w:numPr>
        <w:spacing w:after="240" w:line="320" w:lineRule="auto"/>
        <w:rPr>
          <w:lang w:val="es-ES"/>
        </w:rPr>
      </w:pPr>
      <w:r w:rsidRPr="006C05DD">
        <w:rPr>
          <w:lang w:val="es-ES"/>
        </w:rPr>
        <w:t>Arranque de la Fase 1 — Ventas.</w:t>
      </w:r>
    </w:p>
    <w:sectPr w:rsidR="00992827" w:rsidRPr="006C05DD">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8D840" w14:textId="77777777" w:rsidR="00F114CB" w:rsidRDefault="00F114CB">
      <w:r>
        <w:separator/>
      </w:r>
    </w:p>
  </w:endnote>
  <w:endnote w:type="continuationSeparator" w:id="0">
    <w:p w14:paraId="683F16A9" w14:textId="77777777" w:rsidR="00F114CB" w:rsidRDefault="00F114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BC332" w14:textId="77777777" w:rsidR="00992827" w:rsidRDefault="00000000">
    <w:pPr>
      <w:jc w:val="right"/>
    </w:pPr>
    <w:r>
      <w:rPr>
        <w:color w:val="8C8780"/>
        <w:sz w:val="16"/>
        <w:szCs w:val="16"/>
      </w:rPr>
      <w:t xml:space="preserve">Mayo 2026  ·  </w:t>
    </w:r>
    <w:r>
      <w:rPr>
        <w:color w:val="8C8780"/>
        <w:sz w:val="16"/>
        <w:szCs w:val="16"/>
      </w:rPr>
      <w:fldChar w:fldCharType="begin"/>
    </w:r>
    <w:r>
      <w:rPr>
        <w:color w:val="8C8780"/>
        <w:sz w:val="16"/>
        <w:szCs w:val="16"/>
      </w:rPr>
      <w:instrText>PAGE</w:instrText>
    </w:r>
    <w:r>
      <w:rPr>
        <w:color w:val="8C8780"/>
        <w:sz w:val="16"/>
        <w:szCs w:val="16"/>
      </w:rPr>
      <w:fldChar w:fldCharType="separate"/>
    </w:r>
    <w:r w:rsidR="006C05DD">
      <w:rPr>
        <w:noProof/>
        <w:color w:val="8C8780"/>
        <w:sz w:val="16"/>
        <w:szCs w:val="16"/>
      </w:rPr>
      <w:t>1</w:t>
    </w:r>
    <w:r>
      <w:rPr>
        <w:color w:val="8C8780"/>
        <w:sz w:val="16"/>
        <w:szCs w:val="16"/>
      </w:rPr>
      <w:fldChar w:fldCharType="end"/>
    </w:r>
    <w:r>
      <w:rPr>
        <w:color w:val="8C8780"/>
        <w:sz w:val="16"/>
        <w:szCs w:val="16"/>
      </w:rPr>
      <w:t xml:space="preserve"> / </w:t>
    </w:r>
    <w:r>
      <w:rPr>
        <w:color w:val="8C8780"/>
        <w:sz w:val="16"/>
        <w:szCs w:val="16"/>
      </w:rPr>
      <w:fldChar w:fldCharType="begin"/>
    </w:r>
    <w:r>
      <w:rPr>
        <w:color w:val="8C8780"/>
        <w:sz w:val="16"/>
        <w:szCs w:val="16"/>
      </w:rPr>
      <w:instrText>NUMPAGES</w:instrText>
    </w:r>
    <w:r>
      <w:rPr>
        <w:color w:val="8C8780"/>
        <w:sz w:val="16"/>
        <w:szCs w:val="16"/>
      </w:rPr>
      <w:fldChar w:fldCharType="separate"/>
    </w:r>
    <w:r w:rsidR="006C05DD">
      <w:rPr>
        <w:noProof/>
        <w:color w:val="8C8780"/>
        <w:sz w:val="16"/>
        <w:szCs w:val="16"/>
      </w:rPr>
      <w:t>2</w:t>
    </w:r>
    <w:r>
      <w:rPr>
        <w:color w:val="8C87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D01E1" w14:textId="77777777" w:rsidR="00F114CB" w:rsidRDefault="00F114CB">
      <w:r>
        <w:separator/>
      </w:r>
    </w:p>
  </w:footnote>
  <w:footnote w:type="continuationSeparator" w:id="0">
    <w:p w14:paraId="20B33E8D" w14:textId="77777777" w:rsidR="00F114CB" w:rsidRDefault="00F114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2E30D" w14:textId="7EBBE5BD" w:rsidR="00992827" w:rsidRDefault="00000000">
    <w:pPr>
      <w:tabs>
        <w:tab w:val="right" w:pos="9026"/>
      </w:tabs>
    </w:pPr>
    <w:r>
      <w:rPr>
        <w:color w:val="8C8780"/>
        <w:spacing w:val="30"/>
        <w:sz w:val="16"/>
        <w:szCs w:val="16"/>
      </w:rPr>
      <w:tab/>
    </w:r>
    <w:r>
      <w:rPr>
        <w:color w:val="8C8780"/>
        <w:spacing w:val="30"/>
        <w:sz w:val="16"/>
        <w:szCs w:val="16"/>
      </w:rPr>
      <w:tab/>
      <w:t xml:space="preserve">Viddix AI  </w:t>
    </w:r>
    <w:r w:rsidR="006C05DD">
      <w:rPr>
        <w:color w:val="8C8780"/>
        <w:spacing w:val="30"/>
        <w:sz w:val="16"/>
        <w:szCs w:val="16"/>
      </w:rPr>
      <w:t>x</w:t>
    </w:r>
    <w:r>
      <w:rPr>
        <w:color w:val="8C8780"/>
        <w:spacing w:val="30"/>
        <w:sz w:val="16"/>
        <w:szCs w:val="16"/>
      </w:rPr>
      <w:t xml:space="preserve">  The RIVA Company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2B65BC"/>
    <w:multiLevelType w:val="hybridMultilevel"/>
    <w:tmpl w:val="6618070A"/>
    <w:lvl w:ilvl="0" w:tplc="7AC4230A">
      <w:start w:val="1"/>
      <w:numFmt w:val="bullet"/>
      <w:lvlText w:val="•"/>
      <w:lvlJc w:val="left"/>
      <w:pPr>
        <w:ind w:left="540" w:hanging="270"/>
      </w:pPr>
    </w:lvl>
    <w:lvl w:ilvl="1" w:tplc="B5AC3192">
      <w:numFmt w:val="decimal"/>
      <w:lvlText w:val=""/>
      <w:lvlJc w:val="left"/>
    </w:lvl>
    <w:lvl w:ilvl="2" w:tplc="F6467770">
      <w:numFmt w:val="decimal"/>
      <w:lvlText w:val=""/>
      <w:lvlJc w:val="left"/>
    </w:lvl>
    <w:lvl w:ilvl="3" w:tplc="92CC0A0E">
      <w:numFmt w:val="decimal"/>
      <w:lvlText w:val=""/>
      <w:lvlJc w:val="left"/>
    </w:lvl>
    <w:lvl w:ilvl="4" w:tplc="1E9A4730">
      <w:numFmt w:val="decimal"/>
      <w:lvlText w:val=""/>
      <w:lvlJc w:val="left"/>
    </w:lvl>
    <w:lvl w:ilvl="5" w:tplc="89563594">
      <w:numFmt w:val="decimal"/>
      <w:lvlText w:val=""/>
      <w:lvlJc w:val="left"/>
    </w:lvl>
    <w:lvl w:ilvl="6" w:tplc="E57EAE28">
      <w:numFmt w:val="decimal"/>
      <w:lvlText w:val=""/>
      <w:lvlJc w:val="left"/>
    </w:lvl>
    <w:lvl w:ilvl="7" w:tplc="E94CA522">
      <w:numFmt w:val="decimal"/>
      <w:lvlText w:val=""/>
      <w:lvlJc w:val="left"/>
    </w:lvl>
    <w:lvl w:ilvl="8" w:tplc="9F18CE4A">
      <w:numFmt w:val="decimal"/>
      <w:lvlText w:val=""/>
      <w:lvlJc w:val="left"/>
    </w:lvl>
  </w:abstractNum>
  <w:abstractNum w:abstractNumId="1" w15:restartNumberingAfterBreak="0">
    <w:nsid w:val="23344AE2"/>
    <w:multiLevelType w:val="hybridMultilevel"/>
    <w:tmpl w:val="2FE2497E"/>
    <w:lvl w:ilvl="0" w:tplc="C554AEE2">
      <w:start w:val="1"/>
      <w:numFmt w:val="decimal"/>
      <w:lvlText w:val="%1."/>
      <w:lvlJc w:val="left"/>
      <w:pPr>
        <w:ind w:left="540" w:hanging="270"/>
      </w:pPr>
    </w:lvl>
    <w:lvl w:ilvl="1" w:tplc="938A7DDA">
      <w:numFmt w:val="decimal"/>
      <w:lvlText w:val=""/>
      <w:lvlJc w:val="left"/>
    </w:lvl>
    <w:lvl w:ilvl="2" w:tplc="7E8C40E6">
      <w:numFmt w:val="decimal"/>
      <w:lvlText w:val=""/>
      <w:lvlJc w:val="left"/>
    </w:lvl>
    <w:lvl w:ilvl="3" w:tplc="09E26556">
      <w:numFmt w:val="decimal"/>
      <w:lvlText w:val=""/>
      <w:lvlJc w:val="left"/>
    </w:lvl>
    <w:lvl w:ilvl="4" w:tplc="12C09A0C">
      <w:numFmt w:val="decimal"/>
      <w:lvlText w:val=""/>
      <w:lvlJc w:val="left"/>
    </w:lvl>
    <w:lvl w:ilvl="5" w:tplc="41DCFEB6">
      <w:numFmt w:val="decimal"/>
      <w:lvlText w:val=""/>
      <w:lvlJc w:val="left"/>
    </w:lvl>
    <w:lvl w:ilvl="6" w:tplc="19A2C886">
      <w:numFmt w:val="decimal"/>
      <w:lvlText w:val=""/>
      <w:lvlJc w:val="left"/>
    </w:lvl>
    <w:lvl w:ilvl="7" w:tplc="471097FA">
      <w:numFmt w:val="decimal"/>
      <w:lvlText w:val=""/>
      <w:lvlJc w:val="left"/>
    </w:lvl>
    <w:lvl w:ilvl="8" w:tplc="DC0C4C0A">
      <w:numFmt w:val="decimal"/>
      <w:lvlText w:val=""/>
      <w:lvlJc w:val="left"/>
    </w:lvl>
  </w:abstractNum>
  <w:abstractNum w:abstractNumId="2" w15:restartNumberingAfterBreak="0">
    <w:nsid w:val="78146762"/>
    <w:multiLevelType w:val="hybridMultilevel"/>
    <w:tmpl w:val="D0EEFB18"/>
    <w:lvl w:ilvl="0" w:tplc="84065304">
      <w:start w:val="1"/>
      <w:numFmt w:val="bullet"/>
      <w:lvlText w:val="●"/>
      <w:lvlJc w:val="left"/>
      <w:pPr>
        <w:ind w:left="720" w:hanging="360"/>
      </w:pPr>
    </w:lvl>
    <w:lvl w:ilvl="1" w:tplc="2D5C662C">
      <w:start w:val="1"/>
      <w:numFmt w:val="bullet"/>
      <w:lvlText w:val="○"/>
      <w:lvlJc w:val="left"/>
      <w:pPr>
        <w:ind w:left="1440" w:hanging="360"/>
      </w:pPr>
    </w:lvl>
    <w:lvl w:ilvl="2" w:tplc="41A01B14">
      <w:start w:val="1"/>
      <w:numFmt w:val="bullet"/>
      <w:lvlText w:val="■"/>
      <w:lvlJc w:val="left"/>
      <w:pPr>
        <w:ind w:left="2160" w:hanging="360"/>
      </w:pPr>
    </w:lvl>
    <w:lvl w:ilvl="3" w:tplc="3C04C718">
      <w:start w:val="1"/>
      <w:numFmt w:val="bullet"/>
      <w:lvlText w:val="●"/>
      <w:lvlJc w:val="left"/>
      <w:pPr>
        <w:ind w:left="2880" w:hanging="360"/>
      </w:pPr>
    </w:lvl>
    <w:lvl w:ilvl="4" w:tplc="9F96CA6A">
      <w:start w:val="1"/>
      <w:numFmt w:val="bullet"/>
      <w:lvlText w:val="○"/>
      <w:lvlJc w:val="left"/>
      <w:pPr>
        <w:ind w:left="3600" w:hanging="360"/>
      </w:pPr>
    </w:lvl>
    <w:lvl w:ilvl="5" w:tplc="DDCA42BC">
      <w:start w:val="1"/>
      <w:numFmt w:val="bullet"/>
      <w:lvlText w:val="■"/>
      <w:lvlJc w:val="left"/>
      <w:pPr>
        <w:ind w:left="4320" w:hanging="360"/>
      </w:pPr>
    </w:lvl>
    <w:lvl w:ilvl="6" w:tplc="B3A2FC1C">
      <w:start w:val="1"/>
      <w:numFmt w:val="bullet"/>
      <w:lvlText w:val="●"/>
      <w:lvlJc w:val="left"/>
      <w:pPr>
        <w:ind w:left="5040" w:hanging="360"/>
      </w:pPr>
    </w:lvl>
    <w:lvl w:ilvl="7" w:tplc="899207FA">
      <w:start w:val="1"/>
      <w:numFmt w:val="bullet"/>
      <w:lvlText w:val="●"/>
      <w:lvlJc w:val="left"/>
      <w:pPr>
        <w:ind w:left="5760" w:hanging="360"/>
      </w:pPr>
    </w:lvl>
    <w:lvl w:ilvl="8" w:tplc="40183E54">
      <w:start w:val="1"/>
      <w:numFmt w:val="bullet"/>
      <w:lvlText w:val="●"/>
      <w:lvlJc w:val="left"/>
      <w:pPr>
        <w:ind w:left="6480" w:hanging="360"/>
      </w:pPr>
    </w:lvl>
  </w:abstractNum>
  <w:num w:numId="1" w16cid:durableId="1502358121">
    <w:abstractNumId w:val="2"/>
    <w:lvlOverride w:ilvl="0">
      <w:startOverride w:val="1"/>
    </w:lvlOverride>
  </w:num>
  <w:num w:numId="2" w16cid:durableId="1797066063">
    <w:abstractNumId w:val="0"/>
    <w:lvlOverride w:ilvl="0">
      <w:startOverride w:val="1"/>
    </w:lvlOverride>
  </w:num>
  <w:num w:numId="3" w16cid:durableId="12080327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2827"/>
    <w:rsid w:val="005237F1"/>
    <w:rsid w:val="006C05DD"/>
    <w:rsid w:val="006D34AE"/>
    <w:rsid w:val="00992827"/>
    <w:rsid w:val="00F114CB"/>
    <w:rsid w:val="00FE54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FBBE8"/>
  <w15:docId w15:val="{B5BC7D4B-3F4B-410C-A471-2E529870F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A4A4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200"/>
      <w:outlineLvl w:val="0"/>
    </w:pPr>
    <w:rPr>
      <w:color w:val="1A1A1A"/>
      <w:sz w:val="40"/>
      <w:szCs w:val="40"/>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spacing w:before="240" w:after="100"/>
      <w:outlineLvl w:val="2"/>
    </w:pPr>
    <w:rPr>
      <w:b/>
      <w:bCs/>
      <w:color w:val="5C3A2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C05DD"/>
    <w:pPr>
      <w:tabs>
        <w:tab w:val="center" w:pos="4252"/>
        <w:tab w:val="right" w:pos="8504"/>
      </w:tabs>
    </w:pPr>
  </w:style>
  <w:style w:type="character" w:customStyle="1" w:styleId="HeaderChar">
    <w:name w:val="Header Char"/>
    <w:basedOn w:val="DefaultParagraphFont"/>
    <w:link w:val="Header"/>
    <w:uiPriority w:val="99"/>
    <w:rsid w:val="006C05DD"/>
  </w:style>
  <w:style w:type="paragraph" w:styleId="Footer">
    <w:name w:val="footer"/>
    <w:basedOn w:val="Normal"/>
    <w:link w:val="FooterChar"/>
    <w:uiPriority w:val="99"/>
    <w:unhideWhenUsed/>
    <w:rsid w:val="006C05DD"/>
    <w:pPr>
      <w:tabs>
        <w:tab w:val="center" w:pos="4252"/>
        <w:tab w:val="right" w:pos="8504"/>
      </w:tabs>
    </w:pPr>
  </w:style>
  <w:style w:type="character" w:customStyle="1" w:styleId="FooterChar">
    <w:name w:val="Footer Char"/>
    <w:basedOn w:val="DefaultParagraphFont"/>
    <w:link w:val="Footer"/>
    <w:uiPriority w:val="99"/>
    <w:rsid w:val="006C05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371</TotalTime>
  <Pages>8</Pages>
  <Words>1597</Words>
  <Characters>9105</Characters>
  <Application>Microsoft Office Word</Application>
  <DocSecurity>0</DocSecurity>
  <Lines>75</Lines>
  <Paragraphs>21</Paragraphs>
  <ScaleCrop>false</ScaleCrop>
  <Company/>
  <LinksUpToDate>false</LinksUpToDate>
  <CharactersWithSpaces>10681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The RIVA Company</dc:title>
  <dc:creator>Viddix AI</dc:creator>
  <dc:description>Hub, CRM y automatizaciones — programa de 15 meses</dc:description>
  <cp:lastModifiedBy>Pablo Sanz Diez</cp:lastModifiedBy>
  <cp:revision>4</cp:revision>
  <dcterms:created xsi:type="dcterms:W3CDTF">2026-05-27T21:59:00Z</dcterms:created>
  <dcterms:modified xsi:type="dcterms:W3CDTF">2026-05-28T04:13:00Z</dcterms:modified>
</cp:coreProperties>
</file>