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Skincare Product Compatibility Assistant</w:t>
      </w:r>
    </w:p>
    <w:p>
      <w:pPr>
        <w:jc w:val="center"/>
      </w:pPr>
      <w:r>
        <w:rPr>
          <w:i/>
          <w:sz w:val="26"/>
        </w:rPr>
        <w:t>Midterm Project Concept, Data Plan and Build Roadmap</w:t>
      </w:r>
    </w:p>
    <w:p>
      <w:pPr>
        <w:jc w:val="center"/>
      </w:pPr>
      <w:r>
        <w:rPr>
          <w:b/>
        </w:rPr>
        <w:t>Built on myAI6 | Pinecone RAG | Product-image workflow</w:t>
      </w:r>
    </w:p>
    <w:tbl>
      <w:tblPr>
        <w:tblW w:type="auto" w:w="0"/>
        <w:jc w:val="center"/>
        <w:tblLook w:firstColumn="1" w:firstRow="1" w:lastColumn="0" w:lastRow="0" w:noHBand="0" w:noVBand="1" w:val="04A0"/>
      </w:tblPr>
      <w:tblGrid>
        <w:gridCol w:w="10224"/>
      </w:tblGrid>
      <w:tr>
        <w:tc>
          <w:tcPr>
            <w:tcW w:type="dxa" w:w="10224"/>
            <w:shd w:fill="EAF2F8"/>
          </w:tcPr>
          <w:p>
            <w:r>
              <w:rPr>
                <w:b/>
              </w:rPr>
              <w:t>Core idea: A user photographs the skincare products they own. The assistant identifies the exact products, retrieves the corresponding ingredient lists and ingredient evidence from our Pinecone knowledge base, checks how the products work together, and returns a compatibility verdict plus a practical AM/PM routine. The user should not have to manually type or paste the ingredient list.</w:t>
            </w:r>
          </w:p>
        </w:tc>
      </w:tr>
    </w:tbl>
    <w:p>
      <w:pPr>
        <w:pStyle w:val="Heading1"/>
      </w:pPr>
      <w:r>
        <w:t>1. What exactly are we building?</w:t>
      </w:r>
    </w:p>
    <w:p>
      <w:r>
        <w:t>We will build a focused skincare compatibility assistant for consumers who use multiple skincare products from different brands and are unsure whether the products can safely and sensibly be used together.</w:t>
      </w:r>
    </w:p>
    <w:p>
      <w:r>
        <w:t>The user experience is intentionally simple: the user uploads photographs of one or more skincare products. The assistant identifies the product, retrieves its stored ingredient information from our knowledge base, recognizes the important active ingredients, checks relevant interaction and irritation rules, and explains whether the products can be combined, should be separated, or require caution.</w:t>
      </w:r>
    </w:p>
    <w:p>
      <w:pPr>
        <w:pStyle w:val="Heading1"/>
      </w:pPr>
      <w:r>
        <w:t>2. Intended user flow</w:t>
      </w:r>
    </w:p>
    <w:p>
      <w:pPr>
        <w:pStyle w:val="ListNumber"/>
      </w:pPr>
      <w:r>
        <w:t>User uploads photographs of 1-3 skincare products.</w:t>
      </w:r>
    </w:p>
    <w:p>
      <w:pPr>
        <w:pStyle w:val="ListNumber"/>
      </w:pPr>
      <w:r>
        <w:t>A vision model identifies the brand and exact product or extracts enough label information to resolve the product.</w:t>
      </w:r>
    </w:p>
    <w:p>
      <w:pPr>
        <w:pStyle w:val="ListNumber"/>
      </w:pPr>
      <w:r>
        <w:t>The application searches our product catalogue / Pinecone knowledge base for that exact product.</w:t>
      </w:r>
    </w:p>
    <w:p>
      <w:pPr>
        <w:pStyle w:val="ListNumber"/>
      </w:pPr>
      <w:r>
        <w:t>The stored product record supplies the complete ingredient list and source information.</w:t>
      </w:r>
    </w:p>
    <w:p>
      <w:pPr>
        <w:pStyle w:val="ListNumber"/>
      </w:pPr>
      <w:r>
        <w:t>The system normalizes ingredient names into standard INCI names and identifies relevant active ingredient families.</w:t>
      </w:r>
    </w:p>
    <w:p>
      <w:pPr>
        <w:pStyle w:val="ListNumber"/>
      </w:pPr>
      <w:r>
        <w:t>A compatibility layer checks pairs or groups of active ingredients against curated evidence and rules.</w:t>
      </w:r>
    </w:p>
    <w:p>
      <w:pPr>
        <w:pStyle w:val="ListNumber"/>
      </w:pPr>
      <w:r>
        <w:t>The assistant returns a clear result: Compatible, Use with Caution, Separate Use, or Insufficient Evidence.</w:t>
      </w:r>
    </w:p>
    <w:p>
      <w:pPr>
        <w:pStyle w:val="ListNumber"/>
      </w:pPr>
      <w:r>
        <w:t>The assistant also recommends the order of application and, where appropriate, an AM/PM routine with citations.</w:t>
      </w:r>
    </w:p>
    <w:p>
      <w:r>
        <w:t>Important design rule: if the product cannot be confidently identified or does not exist in our knowledge base, the assistant should not invent an ingredient list. It should ask for a clearer product photo or label photo, or state that the product is currently unsupported. The user still does not need to manually enter ingredients.</w:t>
      </w:r>
    </w:p>
    <w:p>
      <w:pPr>
        <w:pStyle w:val="Heading1"/>
      </w:pPr>
      <w:r>
        <w:t>3. Why Pinecone is central to the product</w:t>
      </w:r>
    </w:p>
    <w:p>
      <w:r>
        <w:t>Pinecone is the retrieval layer, not the scraper. We first collect permitted public data, clean and structure it, then ingest it through the myAI6 RAGloader pipeline. At runtime, the assistant retrieves the relevant product and ingredient evidence from Pinecone.</w:t>
      </w:r>
    </w:p>
    <w:p>
      <w:r>
        <w:t>The knowledge base should contain three main content types:</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D3"/>
          </w:tcPr>
          <w:p>
            <w:r>
              <w:t>Knowledge type</w:t>
            </w:r>
          </w:p>
        </w:tc>
        <w:tc>
          <w:tcPr>
            <w:tcW w:type="dxa" w:w="2556"/>
            <w:shd w:fill="D9EAD3"/>
          </w:tcPr>
          <w:p>
            <w:r>
              <w:t>Example</w:t>
            </w:r>
          </w:p>
        </w:tc>
        <w:tc>
          <w:tcPr>
            <w:tcW w:type="dxa" w:w="2556"/>
            <w:shd w:fill="D9EAD3"/>
          </w:tcPr>
          <w:p>
            <w:r>
              <w:t>Purpose</w:t>
            </w:r>
          </w:p>
        </w:tc>
        <w:tc>
          <w:tcPr>
            <w:tcW w:type="dxa" w:w="2556"/>
            <w:shd w:fill="D9EAD3"/>
          </w:tcPr>
          <w:p>
            <w:r>
              <w:t>Recommended storage</w:t>
            </w:r>
          </w:p>
        </w:tc>
      </w:tr>
      <w:tr>
        <w:tc>
          <w:tcPr>
            <w:tcW w:type="dxa" w:w="2556"/>
            <w:vAlign w:val="top"/>
          </w:tcPr>
          <w:p>
            <w:r>
              <w:t>Product records</w:t>
            </w:r>
          </w:p>
        </w:tc>
        <w:tc>
          <w:tcPr>
            <w:tcW w:type="dxa" w:w="2556"/>
            <w:vAlign w:val="top"/>
          </w:tcPr>
          <w:p>
            <w:r>
              <w:t>Minimalist Vitamin C Serum -&gt; full INCI list</w:t>
            </w:r>
          </w:p>
        </w:tc>
        <w:tc>
          <w:tcPr>
            <w:tcW w:type="dxa" w:w="2556"/>
            <w:vAlign w:val="top"/>
          </w:tcPr>
          <w:p>
            <w:r>
              <w:t>Exact product-to-ingredient retrieval</w:t>
            </w:r>
          </w:p>
        </w:tc>
        <w:tc>
          <w:tcPr>
            <w:tcW w:type="dxa" w:w="2556"/>
            <w:vAlign w:val="top"/>
          </w:tcPr>
          <w:p>
            <w:r>
              <w:t>Pinecone + optional structured JSON lookup</w:t>
            </w:r>
          </w:p>
        </w:tc>
      </w:tr>
      <w:tr>
        <w:tc>
          <w:tcPr>
            <w:tcW w:type="dxa" w:w="2556"/>
            <w:vAlign w:val="top"/>
          </w:tcPr>
          <w:p>
            <w:r>
              <w:t>Ingredient records</w:t>
            </w:r>
          </w:p>
        </w:tc>
        <w:tc>
          <w:tcPr>
            <w:tcW w:type="dxa" w:w="2556"/>
            <w:vAlign w:val="top"/>
          </w:tcPr>
          <w:p>
            <w:r>
              <w:t>Niacinamide, Retinol, Salicylic Acid</w:t>
            </w:r>
          </w:p>
        </w:tc>
        <w:tc>
          <w:tcPr>
            <w:tcW w:type="dxa" w:w="2556"/>
            <w:vAlign w:val="top"/>
          </w:tcPr>
          <w:p>
            <w:r>
              <w:t>Standard name, function, safety context, synonyms</w:t>
            </w:r>
          </w:p>
        </w:tc>
        <w:tc>
          <w:tcPr>
            <w:tcW w:type="dxa" w:w="2556"/>
            <w:vAlign w:val="top"/>
          </w:tcPr>
          <w:p>
            <w:r>
              <w:t>Pinecone</w:t>
            </w:r>
          </w:p>
        </w:tc>
      </w:tr>
      <w:tr>
        <w:tc>
          <w:tcPr>
            <w:tcW w:type="dxa" w:w="2556"/>
            <w:vAlign w:val="top"/>
          </w:tcPr>
          <w:p>
            <w:r>
              <w:t>Compatibility evidence / rules</w:t>
            </w:r>
          </w:p>
        </w:tc>
        <w:tc>
          <w:tcPr>
            <w:tcW w:type="dxa" w:w="2556"/>
            <w:vAlign w:val="top"/>
          </w:tcPr>
          <w:p>
            <w:r>
              <w:t>Retinoid + strong exfoliating acid</w:t>
            </w:r>
          </w:p>
        </w:tc>
        <w:tc>
          <w:tcPr>
            <w:tcW w:type="dxa" w:w="2556"/>
            <w:vAlign w:val="top"/>
          </w:tcPr>
          <w:p>
            <w:r>
              <w:t>Combination guidance, irritation risk, timing</w:t>
            </w:r>
          </w:p>
        </w:tc>
        <w:tc>
          <w:tcPr>
            <w:tcW w:type="dxa" w:w="2556"/>
            <w:vAlign w:val="top"/>
          </w:tcPr>
          <w:p>
            <w:r>
              <w:t>Pinecone + deterministic rule table</w:t>
            </w:r>
          </w:p>
        </w:tc>
      </w:tr>
    </w:tbl>
    <w:p>
      <w:pPr>
        <w:pStyle w:val="Heading1"/>
      </w:pPr>
      <w:r>
        <w:t>4. Data we need</w:t>
      </w:r>
    </w:p>
    <w:p>
      <w:r>
        <w:t>The product will be only as reliable as its knowledge base. We therefore need separate datasets for product formulas, ingredient identities, ingredient safety/science, and compatibility guidance.</w:t>
      </w:r>
    </w:p>
    <w:p>
      <w:pPr>
        <w:pStyle w:val="Heading2"/>
      </w:pPr>
      <w:r>
        <w:t>4.1 Product-level data: product name -&gt; ingredient list</w:t>
      </w:r>
    </w:p>
    <w:p>
      <w:r>
        <w:t>Primary recommendation: Open Beauty Facts. It is an open collaborative cosmetics database containing product names, barcodes, labels, ingredient lists and product images. Its project documentation states that the complete database is published as open data and can be reused. The Open Beauty Facts API follows the Open Food Facts API model and supports cosmetic product and ingredient lookup.</w:t>
      </w:r>
    </w:p>
    <w:p>
      <w:pPr>
        <w:pStyle w:val="ListBullet"/>
      </w:pPr>
      <w:r>
        <w:t>Use it to seed the first product catalogue with popular skincare brands and exact INCI lists.</w:t>
      </w:r>
    </w:p>
    <w:p>
      <w:pPr>
        <w:pStyle w:val="ListBullet"/>
      </w:pPr>
      <w:r>
        <w:t>Store product name, brand, barcode where available, category, ingredient text, image/reference fields, source URL and last-updated date.</w:t>
      </w:r>
    </w:p>
    <w:p>
      <w:pPr>
        <w:pStyle w:val="ListBullet"/>
      </w:pPr>
      <w:r>
        <w:t>Do not assume every record is complete or correct; community-contributed data should be validated for the products used in your demo/test set.</w:t>
      </w:r>
    </w:p>
    <w:p>
      <w:r>
        <w:t>Source: https://github.com/openfoodfacts/openbeautyfacts</w:t>
      </w:r>
    </w:p>
    <w:p>
      <w:r>
        <w:t>API documentation: https://github.com/openfoodfacts/openfoodfacts-server/blob/main/docs/api/tutorials/scanning-cosmetics-pet-food-and-other-products.md</w:t>
      </w:r>
    </w:p>
    <w:p>
      <w:pPr>
        <w:pStyle w:val="Heading2"/>
      </w:pPr>
      <w:r>
        <w:t>4.2 Standard ingredient names: INCI / cosmetic ingredient identity</w:t>
      </w:r>
    </w:p>
    <w:p>
      <w:r>
        <w:t>Primary recommendation: European Commission CosIng. CosIng contains common cosmetic ingredient names used for labelling, regulatory references, CAS/EINECS identifiers and links to Scientific Committee on Consumer Safety (SCCS) opinions. It is useful for standardizing product ingredient strings into canonical ingredient identities.</w:t>
      </w:r>
    </w:p>
    <w:p>
      <w:pPr>
        <w:pStyle w:val="ListBullet"/>
      </w:pPr>
      <w:r>
        <w:t>Use CosIng to normalize spelling and synonyms.</w:t>
      </w:r>
    </w:p>
    <w:p>
      <w:pPr>
        <w:pStyle w:val="ListBullet"/>
      </w:pPr>
      <w:r>
        <w:t>Map ingredients to INCI names and identifiers.</w:t>
      </w:r>
    </w:p>
    <w:p>
      <w:pPr>
        <w:pStyle w:val="ListBullet"/>
      </w:pPr>
      <w:r>
        <w:t>Use linked SCCS opinions where relevant for safety evidence.</w:t>
      </w:r>
    </w:p>
    <w:p>
      <w:r>
        <w:t>Source: https://single-market-economy.ec.europa.eu/sectors/cosmetics/cosmetic-ingredient-database_en</w:t>
      </w:r>
    </w:p>
    <w:p>
      <w:r>
        <w:t>Note: CosIng itself explicitly states that appearance in the database does not mean an ingredient is approved for every cosmetic use; regulatory conditions must still be interpreted correctly.</w:t>
      </w:r>
    </w:p>
    <w:p>
      <w:pPr>
        <w:pStyle w:val="Heading2"/>
      </w:pPr>
      <w:r>
        <w:t>4.3 Ingredient safety and scientific context</w:t>
      </w:r>
    </w:p>
    <w:tbl>
      <w:tblPr>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FCE5CD"/>
          </w:tcPr>
          <w:p>
            <w:r>
              <w:t>Source</w:t>
            </w:r>
          </w:p>
        </w:tc>
        <w:tc>
          <w:tcPr>
            <w:tcW w:type="dxa" w:w="2556"/>
            <w:shd w:fill="FCE5CD"/>
          </w:tcPr>
          <w:p>
            <w:r>
              <w:t>What it gives us</w:t>
            </w:r>
          </w:p>
        </w:tc>
        <w:tc>
          <w:tcPr>
            <w:tcW w:type="dxa" w:w="2556"/>
            <w:shd w:fill="FCE5CD"/>
          </w:tcPr>
          <w:p>
            <w:r>
              <w:t>How we use it</w:t>
            </w:r>
          </w:p>
        </w:tc>
        <w:tc>
          <w:tcPr>
            <w:tcW w:type="dxa" w:w="2556"/>
            <w:shd w:fill="FCE5CD"/>
          </w:tcPr>
          <w:p>
            <w:r>
              <w:t>Caution</w:t>
            </w:r>
          </w:p>
        </w:tc>
      </w:tr>
      <w:tr>
        <w:tc>
          <w:tcPr>
            <w:tcW w:type="dxa" w:w="2556"/>
          </w:tcPr>
          <w:p>
            <w:r>
              <w:t>Cosmetic Ingredient Review (CIR)</w:t>
            </w:r>
          </w:p>
        </w:tc>
        <w:tc>
          <w:tcPr>
            <w:tcW w:type="dxa" w:w="2556"/>
          </w:tcPr>
          <w:p>
            <w:r>
              <w:t>Expert safety assessments organized by INCI ingredient</w:t>
            </w:r>
          </w:p>
        </w:tc>
        <w:tc>
          <w:tcPr>
            <w:tcW w:type="dxa" w:w="2556"/>
          </w:tcPr>
          <w:p>
            <w:r>
              <w:t>Evidence snippets for safety, irritation, concentration and formulation context</w:t>
            </w:r>
          </w:p>
        </w:tc>
        <w:tc>
          <w:tcPr>
            <w:tcW w:type="dxa" w:w="2556"/>
          </w:tcPr>
          <w:p>
            <w:r>
              <w:t>CIR assesses ingredients, not finished products.</w:t>
            </w:r>
          </w:p>
        </w:tc>
      </w:tr>
      <w:tr>
        <w:tc>
          <w:tcPr>
            <w:tcW w:type="dxa" w:w="2556"/>
          </w:tcPr>
          <w:p>
            <w:r>
              <w:t>SCCS / EU scientific opinions</w:t>
            </w:r>
          </w:p>
        </w:tc>
        <w:tc>
          <w:tcPr>
            <w:tcW w:type="dxa" w:w="2556"/>
          </w:tcPr>
          <w:p>
            <w:r>
              <w:t>Scientific opinions on cosmetic ingredient safety</w:t>
            </w:r>
          </w:p>
        </w:tc>
        <w:tc>
          <w:tcPr>
            <w:tcW w:type="dxa" w:w="2556"/>
          </w:tcPr>
          <w:p>
            <w:r>
              <w:t>Higher-authority evidence for selected actives or restricted ingredients</w:t>
            </w:r>
          </w:p>
        </w:tc>
        <w:tc>
          <w:tcPr>
            <w:tcW w:type="dxa" w:w="2556"/>
          </w:tcPr>
          <w:p>
            <w:r>
              <w:t>Use the opinion itself, not a simplified unsupported interpretation.</w:t>
            </w:r>
          </w:p>
        </w:tc>
      </w:tr>
      <w:tr>
        <w:tc>
          <w:tcPr>
            <w:tcW w:type="dxa" w:w="2556"/>
          </w:tcPr>
          <w:p>
            <w:r>
              <w:t>PubChem (NIH)</w:t>
            </w:r>
          </w:p>
        </w:tc>
        <w:tc>
          <w:tcPr>
            <w:tcW w:type="dxa" w:w="2556"/>
          </w:tcPr>
          <w:p>
            <w:r>
              <w:t>Chemical identities, structures, properties, toxicity/safety links, literature references</w:t>
            </w:r>
          </w:p>
        </w:tc>
        <w:tc>
          <w:tcPr>
            <w:tcW w:type="dxa" w:w="2556"/>
          </w:tcPr>
          <w:p>
            <w:r>
              <w:t>Synonyms, identifiers and chemical context</w:t>
            </w:r>
          </w:p>
        </w:tc>
        <w:tc>
          <w:tcPr>
            <w:tcW w:type="dxa" w:w="2556"/>
          </w:tcPr>
          <w:p>
            <w:r>
              <w:t>Chemical hazard data does not automatically equal topical skincare risk.</w:t>
            </w:r>
          </w:p>
        </w:tc>
      </w:tr>
      <w:tr>
        <w:tc>
          <w:tcPr>
            <w:tcW w:type="dxa" w:w="2556"/>
          </w:tcPr>
          <w:p>
            <w:r>
              <w:t>FDA cosmetic labeling guidance</w:t>
            </w:r>
          </w:p>
        </w:tc>
        <w:tc>
          <w:tcPr>
            <w:tcW w:type="dxa" w:w="2556"/>
          </w:tcPr>
          <w:p>
            <w:r>
              <w:t>Rules around ingredient labeling and nomenclature</w:t>
            </w:r>
          </w:p>
        </w:tc>
        <w:tc>
          <w:tcPr>
            <w:tcW w:type="dxa" w:w="2556"/>
          </w:tcPr>
          <w:p>
            <w:r>
              <w:t>Helps interpret labels and ingredient ordering</w:t>
            </w:r>
          </w:p>
        </w:tc>
        <w:tc>
          <w:tcPr>
            <w:tcW w:type="dxa" w:w="2556"/>
          </w:tcPr>
          <w:p>
            <w:r>
              <w:t>Not a comprehensive product-compatibility database.</w:t>
            </w:r>
          </w:p>
        </w:tc>
      </w:tr>
    </w:tbl>
    <w:p>
      <w:r>
        <w:t>CIR: https://www.cir-safety.org/</w:t>
      </w:r>
    </w:p>
    <w:p>
      <w:r>
        <w:t>PubChem: https://pubchem.ncbi.nlm.nih.gov/</w:t>
      </w:r>
    </w:p>
    <w:p>
      <w:r>
        <w:t>FDA cosmetic ingredient names: https://www.fda.gov/cosmetics/cosmetics-labeling/cosmetic-ingredient-names</w:t>
      </w:r>
    </w:p>
    <w:p>
      <w:pPr>
        <w:pStyle w:val="Heading2"/>
      </w:pPr>
      <w:r>
        <w:t>4.4 Compatibility / 'can these be used together?' data</w:t>
      </w:r>
    </w:p>
    <w:p>
      <w:r>
        <w:t>There is no single authoritative public database that gives a complete matrix for every possible pair of cosmetic ingredients. We should therefore not look for one giant 'chemical mixing formula' dataset and treat it as ground truth. Instead, we should create a curated compatibility knowledge layer for the most important skincare active families and link every rule to evidence.</w:t>
      </w:r>
    </w:p>
    <w:p>
      <w:r>
        <w:t>For the MVP, create a structured table such as:</w:t>
      </w:r>
    </w:p>
    <w:tbl>
      <w:tblPr>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D2E9"/>
          </w:tcPr>
          <w:p>
            <w:r>
              <w:t>Active A</w:t>
            </w:r>
          </w:p>
        </w:tc>
        <w:tc>
          <w:tcPr>
            <w:tcW w:type="dxa" w:w="1704"/>
            <w:shd w:fill="D9D2E9"/>
          </w:tcPr>
          <w:p>
            <w:r>
              <w:t>Active B</w:t>
            </w:r>
          </w:p>
        </w:tc>
        <w:tc>
          <w:tcPr>
            <w:tcW w:type="dxa" w:w="1704"/>
            <w:shd w:fill="D9D2E9"/>
          </w:tcPr>
          <w:p>
            <w:r>
              <w:t>Verdict</w:t>
            </w:r>
          </w:p>
        </w:tc>
        <w:tc>
          <w:tcPr>
            <w:tcW w:type="dxa" w:w="1704"/>
            <w:shd w:fill="D9D2E9"/>
          </w:tcPr>
          <w:p>
            <w:r>
              <w:t>Practical guidance</w:t>
            </w:r>
          </w:p>
        </w:tc>
        <w:tc>
          <w:tcPr>
            <w:tcW w:type="dxa" w:w="1704"/>
            <w:shd w:fill="D9D2E9"/>
          </w:tcPr>
          <w:p>
            <w:r>
              <w:t>Reason</w:t>
            </w:r>
          </w:p>
        </w:tc>
        <w:tc>
          <w:tcPr>
            <w:tcW w:type="dxa" w:w="1704"/>
            <w:shd w:fill="D9D2E9"/>
          </w:tcPr>
          <w:p>
            <w:r>
              <w:t>Evidence</w:t>
            </w:r>
          </w:p>
        </w:tc>
      </w:tr>
      <w:tr>
        <w:tc>
          <w:tcPr>
            <w:tcW w:type="dxa" w:w="1704"/>
          </w:tcPr>
          <w:p>
            <w:r>
              <w:t>Retinoid</w:t>
            </w:r>
          </w:p>
        </w:tc>
        <w:tc>
          <w:tcPr>
            <w:tcW w:type="dxa" w:w="1704"/>
          </w:tcPr>
          <w:p>
            <w:r>
              <w:t>Strong AHA/BHA</w:t>
            </w:r>
          </w:p>
        </w:tc>
        <w:tc>
          <w:tcPr>
            <w:tcW w:type="dxa" w:w="1704"/>
          </w:tcPr>
          <w:p>
            <w:r>
              <w:t>Caution</w:t>
            </w:r>
          </w:p>
        </w:tc>
        <w:tc>
          <w:tcPr>
            <w:tcW w:type="dxa" w:w="1704"/>
          </w:tcPr>
          <w:p>
            <w:r>
              <w:t>Separate initially / alternate use</w:t>
            </w:r>
          </w:p>
        </w:tc>
        <w:tc>
          <w:tcPr>
            <w:tcW w:type="dxa" w:w="1704"/>
          </w:tcPr>
          <w:p>
            <w:r>
              <w:t>Irritation burden may increase</w:t>
            </w:r>
          </w:p>
        </w:tc>
        <w:tc>
          <w:tcPr>
            <w:tcW w:type="dxa" w:w="1704"/>
          </w:tcPr>
          <w:p>
            <w:r>
              <w:t>Curated scientific/dermatology source</w:t>
            </w:r>
          </w:p>
        </w:tc>
      </w:tr>
      <w:tr>
        <w:tc>
          <w:tcPr>
            <w:tcW w:type="dxa" w:w="1704"/>
          </w:tcPr>
          <w:p>
            <w:r>
              <w:t>Vitamin C</w:t>
            </w:r>
          </w:p>
        </w:tc>
        <w:tc>
          <w:tcPr>
            <w:tcW w:type="dxa" w:w="1704"/>
          </w:tcPr>
          <w:p>
            <w:r>
              <w:t>Sunscreen</w:t>
            </w:r>
          </w:p>
        </w:tc>
        <w:tc>
          <w:tcPr>
            <w:tcW w:type="dxa" w:w="1704"/>
          </w:tcPr>
          <w:p>
            <w:r>
              <w:t>Compatible</w:t>
            </w:r>
          </w:p>
        </w:tc>
        <w:tc>
          <w:tcPr>
            <w:tcW w:type="dxa" w:w="1704"/>
          </w:tcPr>
          <w:p>
            <w:r>
              <w:t>AM routine</w:t>
            </w:r>
          </w:p>
        </w:tc>
        <w:tc>
          <w:tcPr>
            <w:tcW w:type="dxa" w:w="1704"/>
          </w:tcPr>
          <w:p>
            <w:r>
              <w:t>Antioxidant step can sit before SPF</w:t>
            </w:r>
          </w:p>
        </w:tc>
        <w:tc>
          <w:tcPr>
            <w:tcW w:type="dxa" w:w="1704"/>
          </w:tcPr>
          <w:p>
            <w:r>
              <w:t>Curated source</w:t>
            </w:r>
          </w:p>
        </w:tc>
      </w:tr>
      <w:tr>
        <w:tc>
          <w:tcPr>
            <w:tcW w:type="dxa" w:w="1704"/>
          </w:tcPr>
          <w:p>
            <w:r>
              <w:t>Niacinamide</w:t>
            </w:r>
          </w:p>
        </w:tc>
        <w:tc>
          <w:tcPr>
            <w:tcW w:type="dxa" w:w="1704"/>
          </w:tcPr>
          <w:p>
            <w:r>
              <w:t>Hyaluronic acid</w:t>
            </w:r>
          </w:p>
        </w:tc>
        <w:tc>
          <w:tcPr>
            <w:tcW w:type="dxa" w:w="1704"/>
          </w:tcPr>
          <w:p>
            <w:r>
              <w:t>Compatible</w:t>
            </w:r>
          </w:p>
        </w:tc>
        <w:tc>
          <w:tcPr>
            <w:tcW w:type="dxa" w:w="1704"/>
          </w:tcPr>
          <w:p>
            <w:r>
              <w:t>Can layer</w:t>
            </w:r>
          </w:p>
        </w:tc>
        <w:tc>
          <w:tcPr>
            <w:tcW w:type="dxa" w:w="1704"/>
          </w:tcPr>
          <w:p>
            <w:r>
              <w:t>No major conflict expected</w:t>
            </w:r>
          </w:p>
        </w:tc>
        <w:tc>
          <w:tcPr>
            <w:tcW w:type="dxa" w:w="1704"/>
          </w:tcPr>
          <w:p>
            <w:r>
              <w:t>Curated source</w:t>
            </w:r>
          </w:p>
        </w:tc>
      </w:tr>
      <w:tr>
        <w:tc>
          <w:tcPr>
            <w:tcW w:type="dxa" w:w="1704"/>
          </w:tcPr>
          <w:p>
            <w:r>
              <w:t>Benzoyl peroxide</w:t>
            </w:r>
          </w:p>
        </w:tc>
        <w:tc>
          <w:tcPr>
            <w:tcW w:type="dxa" w:w="1704"/>
          </w:tcPr>
          <w:p>
            <w:r>
              <w:t>Selected retinoids</w:t>
            </w:r>
          </w:p>
        </w:tc>
        <w:tc>
          <w:tcPr>
            <w:tcW w:type="dxa" w:w="1704"/>
          </w:tcPr>
          <w:p>
            <w:r>
              <w:t>Depends</w:t>
            </w:r>
          </w:p>
        </w:tc>
        <w:tc>
          <w:tcPr>
            <w:tcW w:type="dxa" w:w="1704"/>
          </w:tcPr>
          <w:p>
            <w:r>
              <w:t>Check active/formulation</w:t>
            </w:r>
          </w:p>
        </w:tc>
        <w:tc>
          <w:tcPr>
            <w:tcW w:type="dxa" w:w="1704"/>
          </w:tcPr>
          <w:p>
            <w:r>
              <w:t>Potential incompatibility/irritation depends on retinoid</w:t>
            </w:r>
          </w:p>
        </w:tc>
        <w:tc>
          <w:tcPr>
            <w:tcW w:type="dxa" w:w="1704"/>
          </w:tcPr>
          <w:p>
            <w:r>
              <w:t>Curated source</w:t>
            </w:r>
          </w:p>
        </w:tc>
      </w:tr>
    </w:tbl>
    <w:p>
      <w:r>
        <w:t>Good evidence sources for this compatibility layer include open-access scientific papers (for example PubMed Central where full text is openly licensed), SCCS/CIR assessments, official drug-label information for OTC drug actives where relevant, and reputable dermatology guidance. For each rule, store the source, date, evidence type, confidence, and exactly what the evidence does and does not establish.</w:t>
      </w:r>
    </w:p>
    <w:p>
      <w:r>
        <w:t>For a weekend MVP, focus on approximately 10-15 active families and 30-50 high-value compatibility rules instead of trying to model every cosmetic ingredient pair.</w:t>
      </w:r>
    </w:p>
    <w:p>
      <w:pPr>
        <w:pStyle w:val="Heading1"/>
      </w:pPr>
      <w:r>
        <w:t>5. Sources we should NOT blindly scrape into Pinecone</w:t>
      </w:r>
    </w:p>
    <w:p>
      <w:r>
        <w:t>Websites such as INCIdecoder, CosDNA and other commercial ingredient-analysis sites are useful for manual research and comparison, but public visibility does not automatically give permission for bulk scraping, copying or republication. Unless their terms or a direct permission clearly allow reuse, do not make them the core bulk dataset. The assignment specifically requires public or properly licensed content.</w:t>
      </w:r>
    </w:p>
    <w:p>
      <w:r>
        <w:t>This is why Open Beauty Facts + official/public scientific sources are the safer foundation for the submitted project.</w:t>
      </w:r>
    </w:p>
    <w:p>
      <w:pPr>
        <w:pStyle w:val="Heading1"/>
      </w:pPr>
      <w:r>
        <w:t>6. Initial scope of the knowledge base</w:t>
      </w:r>
    </w:p>
    <w:p>
      <w:r>
        <w:t>Recommended first target:</w:t>
      </w:r>
    </w:p>
    <w:tbl>
      <w:tblPr>
        <w:tblW w:type="auto" w:w="0"/>
        <w:jc w:val="center"/>
        <w:tblLook w:firstColumn="1" w:firstRow="1" w:lastColumn="0" w:lastRow="0" w:noHBand="0" w:noVBand="1" w:val="04A0"/>
      </w:tblPr>
      <w:tblGrid>
        <w:gridCol w:w="5112"/>
        <w:gridCol w:w="5112"/>
      </w:tblGrid>
      <w:tr>
        <w:tc>
          <w:tcPr>
            <w:tcW w:type="dxa" w:w="5112"/>
            <w:shd w:fill="CFE2F3"/>
          </w:tcPr>
          <w:p>
            <w:r>
              <w:t>Layer</w:t>
            </w:r>
          </w:p>
        </w:tc>
        <w:tc>
          <w:tcPr>
            <w:tcW w:type="dxa" w:w="5112"/>
            <w:shd w:fill="CFE2F3"/>
          </w:tcPr>
          <w:p>
            <w:r>
              <w:t>MVP target</w:t>
            </w:r>
          </w:p>
        </w:tc>
      </w:tr>
      <w:tr>
        <w:tc>
          <w:tcPr>
            <w:tcW w:type="dxa" w:w="5112"/>
          </w:tcPr>
          <w:p>
            <w:r>
              <w:t>Products</w:t>
            </w:r>
          </w:p>
        </w:tc>
        <w:tc>
          <w:tcPr>
            <w:tcW w:type="dxa" w:w="5112"/>
          </w:tcPr>
          <w:p>
            <w:r>
              <w:t>75-150 popular facial skincare products</w:t>
            </w:r>
          </w:p>
        </w:tc>
      </w:tr>
      <w:tr>
        <w:tc>
          <w:tcPr>
            <w:tcW w:type="dxa" w:w="5112"/>
          </w:tcPr>
          <w:p>
            <w:r>
              <w:t>Brands</w:t>
            </w:r>
          </w:p>
        </w:tc>
        <w:tc>
          <w:tcPr>
            <w:tcW w:type="dxa" w:w="5112"/>
          </w:tcPr>
          <w:p>
            <w:r>
              <w:t>10-15 commonly used brands, including India-relevant brands</w:t>
            </w:r>
          </w:p>
        </w:tc>
      </w:tr>
      <w:tr>
        <w:tc>
          <w:tcPr>
            <w:tcW w:type="dxa" w:w="5112"/>
          </w:tcPr>
          <w:p>
            <w:r>
              <w:t>Active families</w:t>
            </w:r>
          </w:p>
        </w:tc>
        <w:tc>
          <w:tcPr>
            <w:tcW w:type="dxa" w:w="5112"/>
          </w:tcPr>
          <w:p>
            <w:r>
              <w:t>10-15</w:t>
            </w:r>
          </w:p>
        </w:tc>
      </w:tr>
      <w:tr>
        <w:tc>
          <w:tcPr>
            <w:tcW w:type="dxa" w:w="5112"/>
          </w:tcPr>
          <w:p>
            <w:r>
              <w:t>Compatibility rules</w:t>
            </w:r>
          </w:p>
        </w:tc>
        <w:tc>
          <w:tcPr>
            <w:tcW w:type="dxa" w:w="5112"/>
          </w:tcPr>
          <w:p>
            <w:r>
              <w:t>30-50</w:t>
            </w:r>
          </w:p>
        </w:tc>
      </w:tr>
      <w:tr>
        <w:tc>
          <w:tcPr>
            <w:tcW w:type="dxa" w:w="5112"/>
          </w:tcPr>
          <w:p>
            <w:r>
              <w:t>Canonical test cases</w:t>
            </w:r>
          </w:p>
        </w:tc>
        <w:tc>
          <w:tcPr>
            <w:tcW w:type="dxa" w:w="5112"/>
          </w:tcPr>
          <w:p>
            <w:r>
              <w:t>At least 10, as required by the project briefing</w:t>
            </w:r>
          </w:p>
        </w:tc>
      </w:tr>
    </w:tbl>
    <w:p>
      <w:r>
        <w:t>The catalogue should prioritize cleansers, serums, moisturizers, sunscreens, toners and common OTC acne products. The active families can include vitamin C, retinoids, niacinamide, salicylic acid, AHAs, benzoyl peroxide, azelaic acid, hyaluronic acid, ceramides, peptides, alpha arbutin, tranexamic acid and kojic acid.</w:t>
      </w:r>
    </w:p>
    <w:p>
      <w:pPr>
        <w:pStyle w:val="Heading1"/>
      </w:pPr>
      <w:r>
        <w:t>7. Decision logic: RAG + rules + LLM</w:t>
      </w:r>
    </w:p>
    <w:p>
      <w:r>
        <w:t>The final judgment should not be produced by the language model from memory alone. We should combine retrieval with a small deterministic compatibility layer.</w:t>
      </w:r>
    </w:p>
    <w:p>
      <w:pPr>
        <w:pStyle w:val="ListNumber"/>
      </w:pPr>
      <w:r>
        <w:t>Vision model resolves exact product.</w:t>
      </w:r>
    </w:p>
    <w:p>
      <w:pPr>
        <w:pStyle w:val="ListNumber"/>
      </w:pPr>
      <w:r>
        <w:t>Retrieve product ingredient list from the curated catalogue/Pinecone.</w:t>
      </w:r>
    </w:p>
    <w:p>
      <w:pPr>
        <w:pStyle w:val="ListNumber"/>
      </w:pPr>
      <w:r>
        <w:t>Normalize the ingredients and detect important active families.</w:t>
      </w:r>
    </w:p>
    <w:p>
      <w:pPr>
        <w:pStyle w:val="ListNumber"/>
      </w:pPr>
      <w:r>
        <w:t>Query Pinecone for evidence relevant to those actives and combinations.</w:t>
      </w:r>
    </w:p>
    <w:p>
      <w:pPr>
        <w:pStyle w:val="ListNumber"/>
      </w:pPr>
      <w:r>
        <w:t>Run deterministic compatibility rules for known high-risk / high-value pairs.</w:t>
      </w:r>
    </w:p>
    <w:p>
      <w:pPr>
        <w:pStyle w:val="ListNumber"/>
      </w:pPr>
      <w:r>
        <w:t>Let the LLM convert the structured result and retrieved evidence into a simple consumer explanation.</w:t>
      </w:r>
    </w:p>
    <w:p>
      <w:pPr>
        <w:pStyle w:val="ListNumber"/>
      </w:pPr>
      <w:r>
        <w:t>Return citations and an uncertainty status.</w:t>
      </w:r>
    </w:p>
    <w:p>
      <w:r>
        <w:t>This gives us a stronger product than a generic chatbot: the model explains a decision grounded in our product catalogue and evidence rather than guessing what is inside a user's bottle.</w:t>
      </w:r>
    </w:p>
    <w:p>
      <w:pPr>
        <w:pStyle w:val="Heading1"/>
      </w:pPr>
      <w:r>
        <w:t>8. Features beyond the myAI6 base</w:t>
      </w:r>
    </w:p>
    <w:tbl>
      <w:tblPr>
        <w:tblW w:type="auto" w:w="0"/>
        <w:jc w:val="center"/>
        <w:tblLook w:firstColumn="1" w:firstRow="1" w:lastColumn="0" w:lastRow="0" w:noHBand="0" w:noVBand="1" w:val="04A0"/>
      </w:tblPr>
      <w:tblGrid>
        <w:gridCol w:w="3408"/>
        <w:gridCol w:w="3408"/>
        <w:gridCol w:w="3408"/>
      </w:tblGrid>
      <w:tr>
        <w:tc>
          <w:tcPr>
            <w:tcW w:type="dxa" w:w="3408"/>
            <w:shd w:fill="FFF2CC"/>
          </w:tcPr>
          <w:p>
            <w:r>
              <w:t>Feature</w:t>
            </w:r>
          </w:p>
        </w:tc>
        <w:tc>
          <w:tcPr>
            <w:tcW w:type="dxa" w:w="3408"/>
            <w:shd w:fill="FFF2CC"/>
          </w:tcPr>
          <w:p>
            <w:r>
              <w:t>What the user experiences</w:t>
            </w:r>
          </w:p>
        </w:tc>
        <w:tc>
          <w:tcPr>
            <w:tcW w:type="dxa" w:w="3408"/>
            <w:shd w:fill="FFF2CC"/>
          </w:tcPr>
          <w:p>
            <w:r>
              <w:t>Why it is substantive</w:t>
            </w:r>
          </w:p>
        </w:tc>
      </w:tr>
      <w:tr>
        <w:tc>
          <w:tcPr>
            <w:tcW w:type="dxa" w:w="3408"/>
          </w:tcPr>
          <w:p>
            <w:r>
              <w:t>Multi-product image intake</w:t>
            </w:r>
          </w:p>
        </w:tc>
        <w:tc>
          <w:tcPr>
            <w:tcW w:type="dxa" w:w="3408"/>
          </w:tcPr>
          <w:p>
            <w:r>
              <w:t>Upload product photos instead of typing product names/ingredients</w:t>
            </w:r>
          </w:p>
        </w:tc>
        <w:tc>
          <w:tcPr>
            <w:tcW w:type="dxa" w:w="3408"/>
          </w:tcPr>
          <w:p>
            <w:r>
              <w:t>New multimodal workflow and product-resolution logic</w:t>
            </w:r>
          </w:p>
        </w:tc>
      </w:tr>
      <w:tr>
        <w:tc>
          <w:tcPr>
            <w:tcW w:type="dxa" w:w="3408"/>
          </w:tcPr>
          <w:p>
            <w:r>
              <w:t>Compatibility engine</w:t>
            </w:r>
          </w:p>
        </w:tc>
        <w:tc>
          <w:tcPr>
            <w:tcW w:type="dxa" w:w="3408"/>
          </w:tcPr>
          <w:p>
            <w:r>
              <w:t>Pairwise/group verdict with green, amber, red or unknown status</w:t>
            </w:r>
          </w:p>
        </w:tc>
        <w:tc>
          <w:tcPr>
            <w:tcW w:type="dxa" w:w="3408"/>
          </w:tcPr>
          <w:p>
            <w:r>
              <w:t>New structured decision capability beyond generic RAG chat</w:t>
            </w:r>
          </w:p>
        </w:tc>
      </w:tr>
      <w:tr>
        <w:tc>
          <w:tcPr>
            <w:tcW w:type="dxa" w:w="3408"/>
          </w:tcPr>
          <w:p>
            <w:r>
              <w:t>Routine builder (recommended third feature)</w:t>
            </w:r>
          </w:p>
        </w:tc>
        <w:tc>
          <w:tcPr>
            <w:tcW w:type="dxa" w:w="3408"/>
          </w:tcPr>
          <w:p>
            <w:r>
              <w:t>AM/PM order and application sequence for the uploaded products</w:t>
            </w:r>
          </w:p>
        </w:tc>
        <w:tc>
          <w:tcPr>
            <w:tcW w:type="dxa" w:w="3408"/>
          </w:tcPr>
          <w:p>
            <w:r>
              <w:t>Transforms analysis into an actionable workflow</w:t>
            </w:r>
          </w:p>
        </w:tc>
      </w:tr>
    </w:tbl>
    <w:p>
      <w:pPr>
        <w:pStyle w:val="Heading1"/>
      </w:pPr>
      <w:r>
        <w:t>9. Step-by-step build plan</w:t>
      </w:r>
    </w:p>
    <w:p>
      <w:r>
        <w:rPr>
          <w:b/>
        </w:rPr>
        <w:t xml:space="preserve">Step 1 - Stabilize the base: </w:t>
      </w:r>
      <w:r>
        <w:t>Import myAI6 into a new private repo, add all four students and dringel, configure environment variables, keep moderation/rate limiting, and get the unchanged app live on Vercel.</w:t>
      </w:r>
    </w:p>
    <w:p>
      <w:r>
        <w:rPr>
          <w:b/>
        </w:rPr>
        <w:t xml:space="preserve">Step 2 - Define supported scope: </w:t>
      </w:r>
      <w:r>
        <w:t>Agree on supported product categories, initial brands, active families and clear refusal/unknown behavior.</w:t>
      </w:r>
    </w:p>
    <w:p>
      <w:r>
        <w:rPr>
          <w:b/>
        </w:rPr>
        <w:t xml:space="preserve">Step 3 - Build product catalogue: </w:t>
      </w:r>
      <w:r>
        <w:t>Pull/curate permitted Open Beauty Facts product records, clean names and INCI lists, validate the demo products and retain provenance fields.</w:t>
      </w:r>
    </w:p>
    <w:p>
      <w:r>
        <w:rPr>
          <w:b/>
        </w:rPr>
        <w:t xml:space="preserve">Step 4 - Build ingredient knowledge: </w:t>
      </w:r>
      <w:r>
        <w:t>Add CosIng-normalized ingredient records plus CIR/SCCS/PubChem evidence for the important actives.</w:t>
      </w:r>
    </w:p>
    <w:p>
      <w:r>
        <w:rPr>
          <w:b/>
        </w:rPr>
        <w:t xml:space="preserve">Step 5 - Build compatibility knowledge: </w:t>
      </w:r>
      <w:r>
        <w:t>Create the 30-50 rule table, with source, reasoning, confidence and practical guidance for each combination.</w:t>
      </w:r>
    </w:p>
    <w:p>
      <w:r>
        <w:rPr>
          <w:b/>
        </w:rPr>
        <w:t xml:space="preserve">Step 6 - Ingest through RAGloader: </w:t>
      </w:r>
      <w:r>
        <w:t>Convert records into source documents/JSON/Markdown appropriate for myAI6, ingest to Pinecone, configure namespaces/top-k/minimum score and test retrieval.</w:t>
      </w:r>
    </w:p>
    <w:p>
      <w:r>
        <w:rPr>
          <w:b/>
        </w:rPr>
        <w:t xml:space="preserve">Step 7 - Build product-photo resolution: </w:t>
      </w:r>
      <w:r>
        <w:t>Accept images, identify brand/product, search exact/near-exact product records, and handle uncertainty without hallucinating.</w:t>
      </w:r>
    </w:p>
    <w:p>
      <w:r>
        <w:rPr>
          <w:b/>
        </w:rPr>
        <w:t xml:space="preserve">Step 8 - Build compatibility engine: </w:t>
      </w:r>
      <w:r>
        <w:t>Extract active families from retrieved product formulas, evaluate pairs/groups, and return structured verdicts.</w:t>
      </w:r>
    </w:p>
    <w:p>
      <w:r>
        <w:rPr>
          <w:b/>
        </w:rPr>
        <w:t xml:space="preserve">Step 9 - Build routine output: </w:t>
      </w:r>
      <w:r>
        <w:t>Generate ordered AM/PM routine only from supported products and compatible/caution rules.</w:t>
      </w:r>
    </w:p>
    <w:p>
      <w:r>
        <w:rPr>
          <w:b/>
        </w:rPr>
        <w:t xml:space="preserve">Step 10 - UI: </w:t>
      </w:r>
      <w:r>
        <w:t>Replace generic chat-only interaction with upload cards, identified-product cards, compatibility status, explanation, routine and expandable citations.</w:t>
      </w:r>
    </w:p>
    <w:p>
      <w:r>
        <w:rPr>
          <w:b/>
        </w:rPr>
        <w:t xml:space="preserve">Step 11 - Test: </w:t>
      </w:r>
      <w:r>
        <w:t>Run at least ten canonical cases plus unknown products, blurry images, unsupported questions and conflicting evidence. Test with people outside the team.</w:t>
      </w:r>
    </w:p>
    <w:p>
      <w:r>
        <w:rPr>
          <w:b/>
        </w:rPr>
        <w:t xml:space="preserve">Step 12 - Documentation and freeze: </w:t>
      </w:r>
      <w:r>
        <w:t>Write DOCUMENTATION.md Parts A-D, quantify business case, add team contributions and AI disclosure, verify live URL and repo access, then freeze before the deadline.</w:t>
      </w:r>
    </w:p>
    <w:p>
      <w:pPr>
        <w:pStyle w:val="Heading1"/>
      </w:pPr>
      <w:r>
        <w:t>10. Data schema to prepare before ingestion</w:t>
      </w:r>
    </w:p>
    <w:p>
      <w:r>
        <w:t>A product record should ideally contain:</w:t>
      </w:r>
    </w:p>
    <w:p>
      <w:pPr>
        <w:pStyle w:val="ListBullet"/>
      </w:pPr>
      <w:r>
        <w:t>product_id / barcode</w:t>
      </w:r>
    </w:p>
    <w:p>
      <w:pPr>
        <w:pStyle w:val="ListBullet"/>
      </w:pPr>
      <w:r>
        <w:t>brand</w:t>
      </w:r>
    </w:p>
    <w:p>
      <w:pPr>
        <w:pStyle w:val="ListBullet"/>
      </w:pPr>
      <w:r>
        <w:t>product_name</w:t>
      </w:r>
    </w:p>
    <w:p>
      <w:pPr>
        <w:pStyle w:val="ListBullet"/>
      </w:pPr>
      <w:r>
        <w:t>category</w:t>
      </w:r>
    </w:p>
    <w:p>
      <w:pPr>
        <w:pStyle w:val="ListBullet"/>
      </w:pPr>
      <w:r>
        <w:t>ingredient_list_raw</w:t>
      </w:r>
    </w:p>
    <w:p>
      <w:pPr>
        <w:pStyle w:val="ListBullet"/>
      </w:pPr>
      <w:r>
        <w:t>ingredient_list_normalized</w:t>
      </w:r>
    </w:p>
    <w:p>
      <w:pPr>
        <w:pStyle w:val="ListBullet"/>
      </w:pPr>
      <w:r>
        <w:t>active_families</w:t>
      </w:r>
    </w:p>
    <w:p>
      <w:pPr>
        <w:pStyle w:val="ListBullet"/>
      </w:pPr>
      <w:r>
        <w:t>source_url</w:t>
      </w:r>
    </w:p>
    <w:p>
      <w:pPr>
        <w:pStyle w:val="ListBullet"/>
      </w:pPr>
      <w:r>
        <w:t>source_type</w:t>
      </w:r>
    </w:p>
    <w:p>
      <w:pPr>
        <w:pStyle w:val="ListBullet"/>
      </w:pPr>
      <w:r>
        <w:t>last_verified_date</w:t>
      </w:r>
    </w:p>
    <w:p>
      <w:pPr>
        <w:pStyle w:val="ListBullet"/>
      </w:pPr>
      <w:r>
        <w:t>data_confidence</w:t>
      </w:r>
    </w:p>
    <w:p>
      <w:r>
        <w:t>A compatibility record should ideally contain:</w:t>
      </w:r>
    </w:p>
    <w:p>
      <w:pPr>
        <w:pStyle w:val="ListBullet"/>
      </w:pPr>
      <w:r>
        <w:t>active_a</w:t>
      </w:r>
    </w:p>
    <w:p>
      <w:pPr>
        <w:pStyle w:val="ListBullet"/>
      </w:pPr>
      <w:r>
        <w:t>active_b</w:t>
      </w:r>
    </w:p>
    <w:p>
      <w:pPr>
        <w:pStyle w:val="ListBullet"/>
      </w:pPr>
      <w:r>
        <w:t>verdict</w:t>
      </w:r>
    </w:p>
    <w:p>
      <w:pPr>
        <w:pStyle w:val="ListBullet"/>
      </w:pPr>
      <w:r>
        <w:t>risk_type</w:t>
      </w:r>
    </w:p>
    <w:p>
      <w:pPr>
        <w:pStyle w:val="ListBullet"/>
      </w:pPr>
      <w:r>
        <w:t>recommended_timing</w:t>
      </w:r>
    </w:p>
    <w:p>
      <w:pPr>
        <w:pStyle w:val="ListBullet"/>
      </w:pPr>
      <w:r>
        <w:t>reasoning_summary</w:t>
      </w:r>
    </w:p>
    <w:p>
      <w:pPr>
        <w:pStyle w:val="ListBullet"/>
      </w:pPr>
      <w:r>
        <w:t>evidence_source_url</w:t>
      </w:r>
    </w:p>
    <w:p>
      <w:pPr>
        <w:pStyle w:val="ListBullet"/>
      </w:pPr>
      <w:r>
        <w:t>evidence_type</w:t>
      </w:r>
    </w:p>
    <w:p>
      <w:pPr>
        <w:pStyle w:val="ListBullet"/>
      </w:pPr>
      <w:r>
        <w:t>confidence</w:t>
      </w:r>
    </w:p>
    <w:p>
      <w:pPr>
        <w:pStyle w:val="ListBullet"/>
      </w:pPr>
      <w:r>
        <w:t>last_reviewed_date</w:t>
      </w:r>
    </w:p>
    <w:p>
      <w:pPr>
        <w:pStyle w:val="Heading1"/>
      </w:pPr>
      <w:r>
        <w:t>11. Guardrails</w:t>
      </w:r>
    </w:p>
    <w:p>
      <w:pPr>
        <w:pStyle w:val="ListBullet"/>
      </w:pPr>
      <w:r>
        <w:t>Do not diagnose skin diseases from an image.</w:t>
      </w:r>
    </w:p>
    <w:p>
      <w:pPr>
        <w:pStyle w:val="ListBullet"/>
      </w:pPr>
      <w:r>
        <w:t>Do not invent a product formula when exact product resolution fails.</w:t>
      </w:r>
    </w:p>
    <w:p>
      <w:pPr>
        <w:pStyle w:val="ListBullet"/>
      </w:pPr>
      <w:r>
        <w:t>Do not treat 'natural' or 'chemical' as automatic safety labels.</w:t>
      </w:r>
    </w:p>
    <w:p>
      <w:pPr>
        <w:pStyle w:val="ListBullet"/>
      </w:pPr>
      <w:r>
        <w:t>Distinguish cosmetic guidance from medical advice.</w:t>
      </w:r>
    </w:p>
    <w:p>
      <w:pPr>
        <w:pStyle w:val="ListBullet"/>
      </w:pPr>
      <w:r>
        <w:t>Use an Insufficient Evidence result where the knowledge base does not support a confident judgment.</w:t>
      </w:r>
    </w:p>
    <w:p>
      <w:pPr>
        <w:pStyle w:val="ListBullet"/>
      </w:pPr>
      <w:r>
        <w:t>Cite the retrieved product record and compatibility/safety evidence.</w:t>
      </w:r>
    </w:p>
    <w:p>
      <w:pPr>
        <w:pStyle w:val="ListBullet"/>
      </w:pPr>
      <w:r>
        <w:t>Keep moderation and rate limiting enabled as required by the midterm briefing.</w:t>
      </w:r>
    </w:p>
    <w:p>
      <w:pPr>
        <w:pStyle w:val="Heading1"/>
      </w:pPr>
      <w:r>
        <w:t>12. Alignment with the midterm briefing</w:t>
      </w:r>
    </w:p>
    <w:p>
      <w:r>
        <w:t>The uploaded briefing requires the team to build on myAI6, create its own knowledge base through RAGloader, add at least two substantive user-facing features, deploy publicly on Vercel, keep citations/moderation/rate limiting, test with users outside the team, and document the product in a single DOCUMENTATION.md. The proposed scope above is designed directly around those requirements.</w:t>
      </w:r>
    </w:p>
    <w:p>
      <w:r>
        <w:t>The assignment deadline in the briefing is Monday, September 7, 2026 at 8:00 AM IST. The live assistant and private repository are both required, and the instructor must be added as collaborator.</w:t>
      </w:r>
    </w:p>
    <w:p>
      <w:pPr>
        <w:pStyle w:val="Heading1"/>
      </w:pPr>
      <w:r>
        <w:t>13. Recommended source list</w:t>
      </w:r>
    </w:p>
    <w:tbl>
      <w:tblPr>
        <w:tblW w:type="auto" w:w="0"/>
        <w:jc w:val="center"/>
        <w:tblLook w:firstColumn="1" w:firstRow="1" w:lastColumn="0" w:lastRow="0" w:noHBand="0" w:noVBand="1" w:val="04A0"/>
      </w:tblPr>
      <w:tblGrid>
        <w:gridCol w:w="3408"/>
        <w:gridCol w:w="3408"/>
        <w:gridCol w:w="3408"/>
      </w:tblGrid>
      <w:tr>
        <w:trPr>
          <w:tblHeader w:val="true"/>
        </w:trPr>
        <w:tc>
          <w:tcPr>
            <w:tcW w:type="dxa" w:w="3408"/>
            <w:shd w:fill="D9EAD3"/>
          </w:tcPr>
          <w:p>
            <w:r>
              <w:t>Source</w:t>
            </w:r>
          </w:p>
        </w:tc>
        <w:tc>
          <w:tcPr>
            <w:tcW w:type="dxa" w:w="3408"/>
            <w:shd w:fill="D9EAD3"/>
          </w:tcPr>
          <w:p>
            <w:r>
              <w:t>Primary use</w:t>
            </w:r>
          </w:p>
        </w:tc>
        <w:tc>
          <w:tcPr>
            <w:tcW w:type="dxa" w:w="3408"/>
            <w:shd w:fill="D9EAD3"/>
          </w:tcPr>
          <w:p>
            <w:r>
              <w:t>URL</w:t>
            </w:r>
          </w:p>
        </w:tc>
      </w:tr>
      <w:tr>
        <w:tc>
          <w:tcPr>
            <w:tcW w:type="dxa" w:w="3408"/>
          </w:tcPr>
          <w:p>
            <w:r>
              <w:t>Open Beauty Facts</w:t>
            </w:r>
          </w:p>
        </w:tc>
        <w:tc>
          <w:tcPr>
            <w:tcW w:type="dxa" w:w="3408"/>
          </w:tcPr>
          <w:p>
            <w:r>
              <w:t>Product catalogue, barcodes, ingredient lists</w:t>
            </w:r>
          </w:p>
        </w:tc>
        <w:tc>
          <w:tcPr>
            <w:tcW w:type="dxa" w:w="3408"/>
          </w:tcPr>
          <w:p>
            <w:r>
              <w:t>https://github.com/openfoodfacts/openbeautyfacts</w:t>
            </w:r>
          </w:p>
        </w:tc>
      </w:tr>
      <w:tr>
        <w:tc>
          <w:tcPr>
            <w:tcW w:type="dxa" w:w="3408"/>
          </w:tcPr>
          <w:p>
            <w:r>
              <w:t>Open Beauty Facts API docs</w:t>
            </w:r>
          </w:p>
        </w:tc>
        <w:tc>
          <w:tcPr>
            <w:tcW w:type="dxa" w:w="3408"/>
          </w:tcPr>
          <w:p>
            <w:r>
              <w:t>Cosmetics product/API access</w:t>
            </w:r>
          </w:p>
        </w:tc>
        <w:tc>
          <w:tcPr>
            <w:tcW w:type="dxa" w:w="3408"/>
          </w:tcPr>
          <w:p>
            <w:r>
              <w:t>https://github.com/openfoodfacts/openfoodfacts-server/blob/main/docs/api/tutorials/scanning-cosmetics-pet-food-and-other-products.md</w:t>
            </w:r>
          </w:p>
        </w:tc>
      </w:tr>
      <w:tr>
        <w:tc>
          <w:tcPr>
            <w:tcW w:type="dxa" w:w="3408"/>
          </w:tcPr>
          <w:p>
            <w:r>
              <w:t>EU CosIng</w:t>
            </w:r>
          </w:p>
        </w:tc>
        <w:tc>
          <w:tcPr>
            <w:tcW w:type="dxa" w:w="3408"/>
          </w:tcPr>
          <w:p>
            <w:r>
              <w:t>INCI names, identifiers, regulatory references and SCCS links</w:t>
            </w:r>
          </w:p>
        </w:tc>
        <w:tc>
          <w:tcPr>
            <w:tcW w:type="dxa" w:w="3408"/>
          </w:tcPr>
          <w:p>
            <w:r>
              <w:t>https://single-market-economy.ec.europa.eu/sectors/cosmetics/cosmetic-ingredient-database_en</w:t>
            </w:r>
          </w:p>
        </w:tc>
      </w:tr>
      <w:tr>
        <w:tc>
          <w:tcPr>
            <w:tcW w:type="dxa" w:w="3408"/>
          </w:tcPr>
          <w:p>
            <w:r>
              <w:t>Cosmetic Ingredient Review</w:t>
            </w:r>
          </w:p>
        </w:tc>
        <w:tc>
          <w:tcPr>
            <w:tcW w:type="dxa" w:w="3408"/>
          </w:tcPr>
          <w:p>
            <w:r>
              <w:t>Ingredient safety assessments</w:t>
            </w:r>
          </w:p>
        </w:tc>
        <w:tc>
          <w:tcPr>
            <w:tcW w:type="dxa" w:w="3408"/>
          </w:tcPr>
          <w:p>
            <w:r>
              <w:t>https://www.cir-safety.org/</w:t>
            </w:r>
          </w:p>
        </w:tc>
      </w:tr>
      <w:tr>
        <w:tc>
          <w:tcPr>
            <w:tcW w:type="dxa" w:w="3408"/>
          </w:tcPr>
          <w:p>
            <w:r>
              <w:t>CIR Reports</w:t>
            </w:r>
          </w:p>
        </w:tc>
        <w:tc>
          <w:tcPr>
            <w:tcW w:type="dxa" w:w="3408"/>
          </w:tcPr>
          <w:p>
            <w:r>
              <w:t>Searchable ingredient review documents</w:t>
            </w:r>
          </w:p>
        </w:tc>
        <w:tc>
          <w:tcPr>
            <w:tcW w:type="dxa" w:w="3408"/>
          </w:tcPr>
          <w:p>
            <w:r>
              <w:t>https://cir-reports.cir-safety.org/</w:t>
            </w:r>
          </w:p>
        </w:tc>
      </w:tr>
      <w:tr>
        <w:tc>
          <w:tcPr>
            <w:tcW w:type="dxa" w:w="3408"/>
          </w:tcPr>
          <w:p>
            <w:r>
              <w:t>PubChem</w:t>
            </w:r>
          </w:p>
        </w:tc>
        <w:tc>
          <w:tcPr>
            <w:tcW w:type="dxa" w:w="3408"/>
          </w:tcPr>
          <w:p>
            <w:r>
              <w:t>Chemical identity, properties, safety/toxicity context and literature references</w:t>
            </w:r>
          </w:p>
        </w:tc>
        <w:tc>
          <w:tcPr>
            <w:tcW w:type="dxa" w:w="3408"/>
          </w:tcPr>
          <w:p>
            <w:r>
              <w:t>https://pubchem.ncbi.nlm.nih.gov/</w:t>
            </w:r>
          </w:p>
        </w:tc>
      </w:tr>
      <w:tr>
        <w:tc>
          <w:tcPr>
            <w:tcW w:type="dxa" w:w="3408"/>
          </w:tcPr>
          <w:p>
            <w:r>
              <w:t>FDA Cosmetic Ingredient Names</w:t>
            </w:r>
          </w:p>
        </w:tc>
        <w:tc>
          <w:tcPr>
            <w:tcW w:type="dxa" w:w="3408"/>
          </w:tcPr>
          <w:p>
            <w:r>
              <w:t>US ingredient-label naming guidance</w:t>
            </w:r>
          </w:p>
        </w:tc>
        <w:tc>
          <w:tcPr>
            <w:tcW w:type="dxa" w:w="3408"/>
          </w:tcPr>
          <w:p>
            <w:r>
              <w:t>https://www.fda.gov/cosmetics/cosmetics-labeling/cosmetic-ingredient-names</w:t>
            </w:r>
          </w:p>
        </w:tc>
      </w:tr>
      <w:tr>
        <w:tc>
          <w:tcPr>
            <w:tcW w:type="dxa" w:w="3408"/>
          </w:tcPr>
          <w:p>
            <w:r>
              <w:t>PubMed Central</w:t>
            </w:r>
          </w:p>
        </w:tc>
        <w:tc>
          <w:tcPr>
            <w:tcW w:type="dxa" w:w="3408"/>
          </w:tcPr>
          <w:p>
            <w:r>
              <w:t>Open-access scientific literature for selected interaction/effect evidence</w:t>
            </w:r>
          </w:p>
        </w:tc>
        <w:tc>
          <w:tcPr>
            <w:tcW w:type="dxa" w:w="3408"/>
          </w:tcPr>
          <w:p>
            <w:r>
              <w:t>https://pmc.ncbi.nlm.nih.gov/</w:t>
            </w:r>
          </w:p>
        </w:tc>
      </w:tr>
    </w:tbl>
    <w:p>
      <w:pPr>
        <w:pStyle w:val="Heading1"/>
      </w:pPr>
      <w:r>
        <w:t>14. One-line project definition</w:t>
      </w:r>
    </w:p>
    <w:p>
      <w:r>
        <w:rPr>
          <w:b/>
        </w:rPr>
        <w:t>A multimodal skincare compatibility assistant that identifies the products a user photographs, retrieves their actual ingredient formulas from a curated Pinecone knowledge base, evaluates ingredient interactions using evidence-backed compatibility rules, and returns a cited compatibility verdict and practical routine.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