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4202B"/>
          <w:sz w:val="34"/>
          <w:szCs w:val="34"/>
        </w:rPr>
        <w:t xml:space="preserve">Oversight Design Bench</w:t>
      </w:r>
    </w:p>
    <w:p>
      <w:pPr>
        <w:spacing w:after="60"/>
      </w:pPr>
      <w:r>
        <w:rPr>
          <w:color w:val="566673"/>
          <w:sz w:val="17"/>
          <w:szCs w:val="17"/>
        </w:rPr>
        <w:t xml:space="preserve">RAIG course project · Human oversight design · Demo: raig-five.vercel.app · Code: github.com/psatam21/oversight-design-bench</w:t>
      </w:r>
    </w:p>
    <w:p>
      <w:pPr>
        <w:pBdr>
          <w:bottom w:val="single" w:color="C9D3DA" w:sz="4" w:space="2"/>
        </w:pBdr>
        <w:spacing w:after="40" w:before="110"/>
      </w:pPr>
      <w:r>
        <w:rPr>
          <w:b/>
          <w:bCs/>
          <w:color w:val="0F6B6B"/>
          <w:sz w:val="22"/>
          <w:szCs w:val="22"/>
        </w:rPr>
        <w:t xml:space="preserve">The question</w:t>
      </w:r>
    </w:p>
    <w:p>
      <w:pPr>
        <w:spacing w:after="70" w:line="252"/>
      </w:pPr>
      <w:r>
        <w:t xml:space="preserve">Companies now let AI agents do real work, such as preparing supplier payments, and put a person in the loop to approve it. We asked how that human check should be designed, because a reviewer who clicks Approve without looking adds nothing. Our example: an AI is about to pay a supplier ₹3,40,000 when a fake email from a lookalike domain asks for the money to go to a new bank account, today.</w:t>
      </w:r>
    </w:p>
    <w:p>
      <w:pPr>
        <w:pBdr>
          <w:bottom w:val="single" w:color="C9D3DA" w:sz="4" w:space="2"/>
        </w:pBdr>
        <w:spacing w:after="40" w:before="110"/>
      </w:pPr>
      <w:r>
        <w:rPr>
          <w:b/>
          <w:bCs/>
          <w:color w:val="0F6B6B"/>
          <w:sz w:val="22"/>
          <w:szCs w:val="22"/>
        </w:rPr>
        <w:t xml:space="preserve">What we built</w:t>
      </w:r>
    </w:p>
    <w:p>
      <w:pPr>
        <w:spacing w:after="70" w:line="252"/>
      </w:pPr>
      <w:r>
        <w:t xml:space="preserve">A web tool where a manager makes six oversight choices: when the AI must stop, who reviews and who covers for them, what evidence the reviewer sees, what powers they have, what makes an approval count, and what happens when things go wrong. The tool turns those choices into a rulebook for the AI (a SKILL.md file), then runs the fraud case through four stages while a live map shows where the design held or failed.</w:t>
      </w:r>
    </w:p>
    <w:p>
      <w:pPr>
        <w:spacing w:after="70" w:line="252"/>
      </w:pPr>
      <w:r>
        <w:t xml:space="preserve">The AI is Claude Haiku 5.5. Jev, a decision model from TypeSafe, scores three risks: do the documents conflict, is someone pushing to skip checks, and has the change been verified. A Telegram bot can send the approval to a real phone, and a phone approval is refused unless the reviewer opened the evidence first. API keys stay on the server and are not in the code.</w:t>
      </w:r>
    </w:p>
    <w:p>
      <w:pPr>
        <w:pBdr>
          <w:bottom w:val="single" w:color="C9D3DA" w:sz="4" w:space="2"/>
        </w:pBdr>
        <w:spacing w:after="40" w:before="110"/>
      </w:pPr>
      <w:r>
        <w:rPr>
          <w:b/>
          <w:bCs/>
          <w:color w:val="0F6B6B"/>
          <w:sz w:val="22"/>
          <w:szCs w:val="22"/>
        </w:rPr>
        <w:t xml:space="preserve">What we found</w:t>
      </w:r>
    </w:p>
    <w:p>
      <w:pPr>
        <w:spacing w:after="70" w:line="252"/>
      </w:pPr>
      <w:r>
        <w:rPr>
          <w:b/>
          <w:bCs/>
        </w:rPr>
        <w:t xml:space="preserve">A rulebook advises; code enforces.</w:t>
      </w:r>
      <w:r>
        <w:t xml:space="preserve"> Under a typical first design the AI paused correctly, the reviewer approved in one click, and the money went to the fraudster. Under a strong design the same case was blocked, because code kept Approve locked until someone called the supplier on the number in the company's own records. The people and the AI were the same both times.</w:t>
      </w:r>
    </w:p>
    <w:p>
      <w:pPr>
        <w:spacing w:after="70" w:line="252"/>
      </w:pPr>
      <w:r>
        <w:t xml:space="preserve">We then tested the rulebook on 11 cases, with answers fixed in advance, across three AI versions and three tries each (99 answers). Six cases looked risky but were safe, to catch an AI that blocks everything.</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18"/>
        <w:gridCol w:w="1600"/>
        <w:gridCol w:w="1600"/>
        <w:gridCol w:w="1600"/>
      </w:tblGrid>
      <w:tr>
        <w:tc>
          <w:tcPr>
            <w:tcW w:type="dxa" w:w="5518"/>
            <w:shd w:fill="E3EEED" w:color="auto" w:val="clear"/>
            <w:tcMar>
              <w:top w:type="dxa" w:w="30"/>
              <w:left w:type="dxa" w:w="80"/>
              <w:bottom w:type="dxa" w:w="30"/>
              <w:right w:type="dxa" w:w="80"/>
            </w:tcMar>
          </w:tcPr>
          <w:p>
            <w:r>
              <w:rPr>
                <w:b/>
                <w:bCs/>
                <w:sz w:val="18"/>
                <w:szCs w:val="18"/>
              </w:rPr>
              <w:t xml:space="preserve">Policy + rulebook compared with policy only</w:t>
            </w:r>
          </w:p>
        </w:tc>
        <w:tc>
          <w:tcPr>
            <w:tcW w:type="dxa" w:w="1600"/>
            <w:shd w:fill="E3EEED" w:color="auto" w:val="clear"/>
            <w:tcMar>
              <w:top w:type="dxa" w:w="30"/>
              <w:left w:type="dxa" w:w="80"/>
              <w:bottom w:type="dxa" w:w="30"/>
              <w:right w:type="dxa" w:w="80"/>
            </w:tcMar>
          </w:tcPr>
          <w:p>
            <w:r>
              <w:rPr>
                <w:b/>
                <w:bCs/>
                <w:sz w:val="18"/>
                <w:szCs w:val="18"/>
              </w:rPr>
              <w:t xml:space="preserve">Better</w:t>
            </w:r>
          </w:p>
        </w:tc>
        <w:tc>
          <w:tcPr>
            <w:tcW w:type="dxa" w:w="1600"/>
            <w:shd w:fill="E3EEED" w:color="auto" w:val="clear"/>
            <w:tcMar>
              <w:top w:type="dxa" w:w="30"/>
              <w:left w:type="dxa" w:w="80"/>
              <w:bottom w:type="dxa" w:w="30"/>
              <w:right w:type="dxa" w:w="80"/>
            </w:tcMar>
          </w:tcPr>
          <w:p>
            <w:r>
              <w:rPr>
                <w:b/>
                <w:bCs/>
                <w:sz w:val="18"/>
                <w:szCs w:val="18"/>
              </w:rPr>
              <w:t xml:space="preserve">Same</w:t>
            </w:r>
          </w:p>
        </w:tc>
        <w:tc>
          <w:tcPr>
            <w:tcW w:type="dxa" w:w="1600"/>
            <w:shd w:fill="E3EEED" w:color="auto" w:val="clear"/>
            <w:tcMar>
              <w:top w:type="dxa" w:w="30"/>
              <w:left w:type="dxa" w:w="80"/>
              <w:bottom w:type="dxa" w:w="30"/>
              <w:right w:type="dxa" w:w="80"/>
            </w:tcMar>
          </w:tcPr>
          <w:p>
            <w:r>
              <w:rPr>
                <w:b/>
                <w:bCs/>
                <w:sz w:val="18"/>
                <w:szCs w:val="18"/>
              </w:rPr>
              <w:t xml:space="preserve">Worse</w:t>
            </w:r>
          </w:p>
        </w:tc>
      </w:tr>
      <w:tr>
        <w:tc>
          <w:tcPr>
            <w:tcW w:type="dxa" w:w="5518"/>
            <w:tcMar>
              <w:top w:type="dxa" w:w="30"/>
              <w:left w:type="dxa" w:w="80"/>
              <w:bottom w:type="dxa" w:w="30"/>
              <w:right w:type="dxa" w:w="80"/>
            </w:tcMar>
          </w:tcPr>
          <w:p>
            <w:r>
              <w:rPr>
                <w:b w:val="false"/>
                <w:bCs w:val="false"/>
                <w:sz w:val="18"/>
                <w:szCs w:val="18"/>
              </w:rPr>
              <w:t xml:space="preserve">Right decision (pause or proceed)</w:t>
            </w:r>
          </w:p>
        </w:tc>
        <w:tc>
          <w:tcPr>
            <w:tcW w:type="dxa" w:w="1600"/>
            <w:tcMar>
              <w:top w:type="dxa" w:w="30"/>
              <w:left w:type="dxa" w:w="80"/>
              <w:bottom w:type="dxa" w:w="30"/>
              <w:right w:type="dxa" w:w="80"/>
            </w:tcMar>
          </w:tcPr>
          <w:p>
            <w:r>
              <w:rPr>
                <w:b w:val="false"/>
                <w:bCs w:val="false"/>
                <w:sz w:val="18"/>
                <w:szCs w:val="18"/>
              </w:rPr>
              <w:t xml:space="preserve">1 case</w:t>
            </w:r>
          </w:p>
        </w:tc>
        <w:tc>
          <w:tcPr>
            <w:tcW w:type="dxa" w:w="1600"/>
            <w:tcMar>
              <w:top w:type="dxa" w:w="30"/>
              <w:left w:type="dxa" w:w="80"/>
              <w:bottom w:type="dxa" w:w="30"/>
              <w:right w:type="dxa" w:w="80"/>
            </w:tcMar>
          </w:tcPr>
          <w:p>
            <w:r>
              <w:rPr>
                <w:b w:val="false"/>
                <w:bCs w:val="false"/>
                <w:sz w:val="18"/>
                <w:szCs w:val="18"/>
              </w:rPr>
              <w:t xml:space="preserve">10</w:t>
            </w:r>
          </w:p>
        </w:tc>
        <w:tc>
          <w:tcPr>
            <w:tcW w:type="dxa" w:w="1600"/>
            <w:tcMar>
              <w:top w:type="dxa" w:w="30"/>
              <w:left w:type="dxa" w:w="80"/>
              <w:bottom w:type="dxa" w:w="30"/>
              <w:right w:type="dxa" w:w="80"/>
            </w:tcMar>
          </w:tcPr>
          <w:p>
            <w:r>
              <w:rPr>
                <w:b w:val="false"/>
                <w:bCs w:val="false"/>
                <w:sz w:val="18"/>
                <w:szCs w:val="18"/>
              </w:rPr>
              <w:t xml:space="preserve">0</w:t>
            </w:r>
          </w:p>
        </w:tc>
      </w:tr>
      <w:tr>
        <w:tc>
          <w:tcPr>
            <w:tcW w:type="dxa" w:w="5518"/>
            <w:tcMar>
              <w:top w:type="dxa" w:w="30"/>
              <w:left w:type="dxa" w:w="80"/>
              <w:bottom w:type="dxa" w:w="30"/>
              <w:right w:type="dxa" w:w="80"/>
            </w:tcMar>
          </w:tcPr>
          <w:p>
            <w:r>
              <w:rPr>
                <w:b w:val="false"/>
                <w:bCs w:val="false"/>
                <w:sz w:val="18"/>
                <w:szCs w:val="18"/>
              </w:rPr>
              <w:t xml:space="preserve">Briefing the reviewer on what to check</w:t>
            </w:r>
          </w:p>
        </w:tc>
        <w:tc>
          <w:tcPr>
            <w:tcW w:type="dxa" w:w="1600"/>
            <w:tcMar>
              <w:top w:type="dxa" w:w="30"/>
              <w:left w:type="dxa" w:w="80"/>
              <w:bottom w:type="dxa" w:w="30"/>
              <w:right w:type="dxa" w:w="80"/>
            </w:tcMar>
          </w:tcPr>
          <w:p>
            <w:r>
              <w:rPr>
                <w:b w:val="false"/>
                <w:bCs w:val="false"/>
                <w:sz w:val="18"/>
                <w:szCs w:val="18"/>
              </w:rPr>
              <w:t xml:space="preserve">2 cases</w:t>
            </w:r>
          </w:p>
        </w:tc>
        <w:tc>
          <w:tcPr>
            <w:tcW w:type="dxa" w:w="1600"/>
            <w:tcMar>
              <w:top w:type="dxa" w:w="30"/>
              <w:left w:type="dxa" w:w="80"/>
              <w:bottom w:type="dxa" w:w="30"/>
              <w:right w:type="dxa" w:w="80"/>
            </w:tcMar>
          </w:tcPr>
          <w:p>
            <w:r>
              <w:rPr>
                <w:b w:val="false"/>
                <w:bCs w:val="false"/>
                <w:sz w:val="18"/>
                <w:szCs w:val="18"/>
              </w:rPr>
              <w:t xml:space="preserve">8</w:t>
            </w:r>
          </w:p>
        </w:tc>
        <w:tc>
          <w:tcPr>
            <w:tcW w:type="dxa" w:w="1600"/>
            <w:tcMar>
              <w:top w:type="dxa" w:w="30"/>
              <w:left w:type="dxa" w:w="80"/>
              <w:bottom w:type="dxa" w:w="30"/>
              <w:right w:type="dxa" w:w="80"/>
            </w:tcMar>
          </w:tcPr>
          <w:p>
            <w:r>
              <w:rPr>
                <w:b w:val="false"/>
                <w:bCs w:val="false"/>
                <w:sz w:val="18"/>
                <w:szCs w:val="18"/>
              </w:rPr>
              <w:t xml:space="preserve">1</w:t>
            </w:r>
          </w:p>
        </w:tc>
      </w:tr>
    </w:tbl>
    <w:p>
      <w:pPr>
        <w:spacing w:after="60"/>
      </w:pPr>
    </w:p>
    <w:p>
      <w:pPr>
        <w:spacing w:after="70" w:line="252"/>
      </w:pPr>
      <w:r>
        <w:t xml:space="preserve">The AI handled obvious cases without help. The rulebook mattered where an exception was easy to miss: on a properly recorded domain change, the AI without it blocked a safe payment every time, and with it let the payment through every time. Testing also exposed our own mistakes. Our first rulebook was too strict, and one test case left out facts the AI needed. We fixed both. The remaining error traced to an ambiguous rule in our made-up policy, which no rulebook can fix.</w:t>
      </w:r>
    </w:p>
    <w:p>
      <w:pPr>
        <w:pBdr>
          <w:bottom w:val="single" w:color="C9D3DA" w:sz="4" w:space="2"/>
        </w:pBdr>
        <w:spacing w:after="40" w:before="110"/>
      </w:pPr>
      <w:r>
        <w:rPr>
          <w:b/>
          <w:bCs/>
          <w:color w:val="0F6B6B"/>
          <w:sz w:val="22"/>
          <w:szCs w:val="22"/>
        </w:rPr>
        <w:t xml:space="preserve">Limits</w:t>
      </w:r>
    </w:p>
    <w:p>
      <w:pPr>
        <w:spacing w:after="70" w:line="252"/>
      </w:pPr>
      <w:r>
        <w:t xml:space="preserve">Eleven cases and one model show a direction, not an error rate. The policy and data are invented, briefing scores rely on keywords, and code can only check that a process was followed. A reviewer who has been fooled can still approve.</w:t>
      </w:r>
    </w:p>
    <w:p>
      <w:pPr>
        <w:pBdr>
          <w:bottom w:val="single" w:color="C9D3DA" w:sz="4" w:space="2"/>
        </w:pBdr>
        <w:spacing w:after="40" w:before="110"/>
      </w:pPr>
      <w:r>
        <w:rPr>
          <w:b/>
          <w:bCs/>
          <w:color w:val="0F6B6B"/>
          <w:sz w:val="22"/>
          <w:szCs w:val="22"/>
        </w:rPr>
        <w:t xml:space="preserve">What we recommend</w:t>
      </w:r>
    </w:p>
    <w:p>
      <w:pPr>
        <w:spacing w:after="70" w:line="252"/>
      </w:pPr>
      <w:r>
        <w:t xml:space="preserve">Make the six oversight choices deliberately. Put the controls that must never fail, such as independent verification, separation of duties and cancelling approvals when details change, into the software. Use rulebooks for judgment at the edges and test them, counting false alarms as well as missed fraud. If a policy can be read two ways, fix the policy first.</w:t>
      </w:r>
    </w:p>
    <w:sectPr>
      <w:pgSz w:w="11906" w:h="16838" w:orient="portrait"/>
      <w:pgMar w:top="760" w:right="794" w:bottom="700" w:left="79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Oversight Design Bench: One-page summary</dc:title>
  <dc:creator>Oversight Design Bench team</dc:creator>
  <cp:lastModifiedBy>Un-named</cp:lastModifiedBy>
  <cp:revision>1</cp:revision>
  <dcterms:created xsi:type="dcterms:W3CDTF">2026-10-08T13:43:04.970Z</dcterms:created>
  <dcterms:modified xsi:type="dcterms:W3CDTF">2026-10-08T13:43:04.971Z</dcterms:modified>
</cp:coreProperties>
</file>

<file path=docProps/custom.xml><?xml version="1.0" encoding="utf-8"?>
<Properties xmlns="http://schemas.openxmlformats.org/officeDocument/2006/custom-properties" xmlns:vt="http://schemas.openxmlformats.org/officeDocument/2006/docPropsVTypes"/>
</file>