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4202B"/>
          <w:sz w:val="34"/>
          <w:szCs w:val="34"/>
        </w:rPr>
        <w:t xml:space="preserve">Oversight Design Bench</w:t>
      </w:r>
    </w:p>
    <w:p>
      <w:pPr>
        <w:spacing w:after="60"/>
      </w:pPr>
      <w:r>
        <w:rPr>
          <w:color w:val="566673"/>
          <w:sz w:val="17"/>
          <w:szCs w:val="17"/>
        </w:rPr>
        <w:t xml:space="preserve">RAIG course project · Human oversight design · Demo: raig-five.vercel.app · Code: github.com/psatam21/oversight-design-bench</w:t>
      </w:r>
    </w:p>
    <w:p>
      <w:pPr>
        <w:pBdr>
          <w:bottom w:val="single" w:color="C9D3DA" w:sz="4" w:space="2"/>
        </w:pBdr>
        <w:spacing w:after="40" w:before="110"/>
      </w:pPr>
      <w:r>
        <w:rPr>
          <w:b/>
          <w:bCs/>
          <w:color w:val="0F6B6B"/>
          <w:sz w:val="22"/>
          <w:szCs w:val="22"/>
        </w:rPr>
        <w:t xml:space="preserve">What we set out to answer</w:t>
      </w:r>
    </w:p>
    <w:p>
      <w:pPr>
        <w:spacing w:after="70" w:line="252"/>
      </w:pPr>
      <w:r>
        <w:t xml:space="preserve">More and more, companies let AI agents do real work, like preparing supplier payments, and keep a person in the loop to sign it off. The query we posed was how that human check ought to be designed. If the reviewer just clicks Approve without opening anything, there's really no point having a person there at all. Our test case: an AI is about to pay a supplier ₹3,40,000 when an email from a lookalike domain turns up, asking for the money to go to a new bank account. Today.</w:t>
      </w:r>
    </w:p>
    <w:p>
      <w:pPr>
        <w:pBdr>
          <w:bottom w:val="single" w:color="C9D3DA" w:sz="4" w:space="2"/>
        </w:pBdr>
        <w:spacing w:after="40" w:before="110"/>
      </w:pPr>
      <w:r>
        <w:rPr>
          <w:b/>
          <w:bCs/>
          <w:color w:val="0F6B6B"/>
          <w:sz w:val="22"/>
          <w:szCs w:val="22"/>
        </w:rPr>
        <w:t xml:space="preserve">What we built</w:t>
      </w:r>
    </w:p>
    <w:p>
      <w:pPr>
        <w:spacing w:after="70" w:line="252"/>
      </w:pPr>
      <w:r>
        <w:t xml:space="preserve">A web tool in which a manager makes six oversight choices: when the AI has to stop, who reviews and who covers for them, what evidence the reviewer gets to see, what they're allowed to do, what makes an approval count, and what happens when something goes wrong. The tool turns those choices into a rulebook for the AI (a SKILL.md file). It then walks the fraud case through four stages, and a live map shows where the design held and where it gave way.</w:t>
      </w:r>
    </w:p>
    <w:p>
      <w:pPr>
        <w:spacing w:after="70" w:line="252"/>
      </w:pPr>
      <w:r>
        <w:t xml:space="preserve">The AI is Claude Haiku 5.5. Jev, a decision model from TypeSafe, weighs three risks: do the documents contradict each other, is someone pushing to skip a check, and has the change been verified. A Telegram bot can send the approval to an actual phone, though a phone approval is refused unless the reviewer opened the evidence first. API keys sit on the server, never in the code.</w:t>
      </w:r>
    </w:p>
    <w:p>
      <w:pPr>
        <w:pBdr>
          <w:bottom w:val="single" w:color="C9D3DA" w:sz="4" w:space="2"/>
        </w:pBdr>
        <w:spacing w:after="40" w:before="110"/>
      </w:pPr>
      <w:r>
        <w:rPr>
          <w:b/>
          <w:bCs/>
          <w:color w:val="0F6B6B"/>
          <w:sz w:val="22"/>
          <w:szCs w:val="22"/>
        </w:rPr>
        <w:t xml:space="preserve">What we found</w:t>
      </w:r>
    </w:p>
    <w:p>
      <w:pPr>
        <w:spacing w:after="70" w:line="252"/>
      </w:pPr>
      <w:r>
        <w:rPr>
          <w:b/>
          <w:bCs/>
        </w:rPr>
        <w:t xml:space="preserve">A rulebook advises; code enforces.</w:t>
      </w:r>
      <w:r>
        <w:t xml:space="preserve"> Under a typical first design the AI paused, as it should, and the reviewer approved in a single click. The fraudster got paid. Under a strong design the same case was blocked, because the code kept Approve locked until someone rang the supplier on the number in the company's own records. Same people, same AI. Only the design changed.</w:t>
      </w:r>
    </w:p>
    <w:p>
      <w:pPr>
        <w:spacing w:after="70" w:line="252"/>
      </w:pPr>
      <w:r>
        <w:t xml:space="preserve">Then we put the rulebook itself to the test: 11 cases, correct answers fixed in advance, three versions of the AI and three tries each, 99 answers in total. Six of the cases looked risky but were actually safe, so an AI that simply blocks everything would show up straight away.</w:t>
      </w:r>
    </w:p>
    <w:tbl>
      <w:tblPr>
        <w:tblW w:type="dxa" w:w="10318"/>
        <w:tblBorders>
          <w:top w:val="single" w:color="auto" w:sz="4"/>
          <w:left w:val="single" w:color="auto" w:sz="4"/>
          <w:bottom w:val="single" w:color="auto" w:sz="4"/>
          <w:right w:val="single" w:color="auto" w:sz="4"/>
          <w:insideH w:val="single" w:color="auto" w:sz="4"/>
          <w:insideV w:val="single" w:color="auto" w:sz="4"/>
        </w:tblBorders>
      </w:tblPr>
      <w:tblGrid>
        <w:gridCol w:w="5518"/>
        <w:gridCol w:w="1600"/>
        <w:gridCol w:w="1600"/>
        <w:gridCol w:w="1600"/>
      </w:tblGrid>
      <w:tr>
        <w:tc>
          <w:tcPr>
            <w:tcW w:type="dxa" w:w="5518"/>
            <w:shd w:fill="E3EEED" w:color="auto" w:val="clear"/>
            <w:tcMar>
              <w:top w:type="dxa" w:w="30"/>
              <w:left w:type="dxa" w:w="80"/>
              <w:bottom w:type="dxa" w:w="30"/>
              <w:right w:type="dxa" w:w="80"/>
            </w:tcMar>
          </w:tcPr>
          <w:p>
            <w:r>
              <w:rPr>
                <w:b/>
                <w:bCs/>
                <w:sz w:val="18"/>
                <w:szCs w:val="18"/>
              </w:rPr>
              <w:t xml:space="preserve">Policy + rulebook compared with policy only</w:t>
            </w:r>
          </w:p>
        </w:tc>
        <w:tc>
          <w:tcPr>
            <w:tcW w:type="dxa" w:w="1600"/>
            <w:shd w:fill="E3EEED" w:color="auto" w:val="clear"/>
            <w:tcMar>
              <w:top w:type="dxa" w:w="30"/>
              <w:left w:type="dxa" w:w="80"/>
              <w:bottom w:type="dxa" w:w="30"/>
              <w:right w:type="dxa" w:w="80"/>
            </w:tcMar>
          </w:tcPr>
          <w:p>
            <w:r>
              <w:rPr>
                <w:b/>
                <w:bCs/>
                <w:sz w:val="18"/>
                <w:szCs w:val="18"/>
              </w:rPr>
              <w:t xml:space="preserve">Better</w:t>
            </w:r>
          </w:p>
        </w:tc>
        <w:tc>
          <w:tcPr>
            <w:tcW w:type="dxa" w:w="1600"/>
            <w:shd w:fill="E3EEED" w:color="auto" w:val="clear"/>
            <w:tcMar>
              <w:top w:type="dxa" w:w="30"/>
              <w:left w:type="dxa" w:w="80"/>
              <w:bottom w:type="dxa" w:w="30"/>
              <w:right w:type="dxa" w:w="80"/>
            </w:tcMar>
          </w:tcPr>
          <w:p>
            <w:r>
              <w:rPr>
                <w:b/>
                <w:bCs/>
                <w:sz w:val="18"/>
                <w:szCs w:val="18"/>
              </w:rPr>
              <w:t xml:space="preserve">Same</w:t>
            </w:r>
          </w:p>
        </w:tc>
        <w:tc>
          <w:tcPr>
            <w:tcW w:type="dxa" w:w="1600"/>
            <w:shd w:fill="E3EEED" w:color="auto" w:val="clear"/>
            <w:tcMar>
              <w:top w:type="dxa" w:w="30"/>
              <w:left w:type="dxa" w:w="80"/>
              <w:bottom w:type="dxa" w:w="30"/>
              <w:right w:type="dxa" w:w="80"/>
            </w:tcMar>
          </w:tcPr>
          <w:p>
            <w:r>
              <w:rPr>
                <w:b/>
                <w:bCs/>
                <w:sz w:val="18"/>
                <w:szCs w:val="18"/>
              </w:rPr>
              <w:t xml:space="preserve">Worse</w:t>
            </w:r>
          </w:p>
        </w:tc>
      </w:tr>
      <w:tr>
        <w:tc>
          <w:tcPr>
            <w:tcW w:type="dxa" w:w="5518"/>
            <w:tcMar>
              <w:top w:type="dxa" w:w="30"/>
              <w:left w:type="dxa" w:w="80"/>
              <w:bottom w:type="dxa" w:w="30"/>
              <w:right w:type="dxa" w:w="80"/>
            </w:tcMar>
          </w:tcPr>
          <w:p>
            <w:r>
              <w:rPr>
                <w:b w:val="false"/>
                <w:bCs w:val="false"/>
                <w:sz w:val="18"/>
                <w:szCs w:val="18"/>
              </w:rPr>
              <w:t xml:space="preserve">Right decision (pause or proceed)</w:t>
            </w:r>
          </w:p>
        </w:tc>
        <w:tc>
          <w:tcPr>
            <w:tcW w:type="dxa" w:w="1600"/>
            <w:tcMar>
              <w:top w:type="dxa" w:w="30"/>
              <w:left w:type="dxa" w:w="80"/>
              <w:bottom w:type="dxa" w:w="30"/>
              <w:right w:type="dxa" w:w="80"/>
            </w:tcMar>
          </w:tcPr>
          <w:p>
            <w:r>
              <w:rPr>
                <w:b w:val="false"/>
                <w:bCs w:val="false"/>
                <w:sz w:val="18"/>
                <w:szCs w:val="18"/>
              </w:rPr>
              <w:t xml:space="preserve">1 case</w:t>
            </w:r>
          </w:p>
        </w:tc>
        <w:tc>
          <w:tcPr>
            <w:tcW w:type="dxa" w:w="1600"/>
            <w:tcMar>
              <w:top w:type="dxa" w:w="30"/>
              <w:left w:type="dxa" w:w="80"/>
              <w:bottom w:type="dxa" w:w="30"/>
              <w:right w:type="dxa" w:w="80"/>
            </w:tcMar>
          </w:tcPr>
          <w:p>
            <w:r>
              <w:rPr>
                <w:b w:val="false"/>
                <w:bCs w:val="false"/>
                <w:sz w:val="18"/>
                <w:szCs w:val="18"/>
              </w:rPr>
              <w:t xml:space="preserve">10</w:t>
            </w:r>
          </w:p>
        </w:tc>
        <w:tc>
          <w:tcPr>
            <w:tcW w:type="dxa" w:w="1600"/>
            <w:tcMar>
              <w:top w:type="dxa" w:w="30"/>
              <w:left w:type="dxa" w:w="80"/>
              <w:bottom w:type="dxa" w:w="30"/>
              <w:right w:type="dxa" w:w="80"/>
            </w:tcMar>
          </w:tcPr>
          <w:p>
            <w:r>
              <w:rPr>
                <w:b w:val="false"/>
                <w:bCs w:val="false"/>
                <w:sz w:val="18"/>
                <w:szCs w:val="18"/>
              </w:rPr>
              <w:t xml:space="preserve">0</w:t>
            </w:r>
          </w:p>
        </w:tc>
      </w:tr>
      <w:tr>
        <w:tc>
          <w:tcPr>
            <w:tcW w:type="dxa" w:w="5518"/>
            <w:tcMar>
              <w:top w:type="dxa" w:w="30"/>
              <w:left w:type="dxa" w:w="80"/>
              <w:bottom w:type="dxa" w:w="30"/>
              <w:right w:type="dxa" w:w="80"/>
            </w:tcMar>
          </w:tcPr>
          <w:p>
            <w:r>
              <w:rPr>
                <w:b w:val="false"/>
                <w:bCs w:val="false"/>
                <w:sz w:val="18"/>
                <w:szCs w:val="18"/>
              </w:rPr>
              <w:t xml:space="preserve">Briefing the reviewer on what to check</w:t>
            </w:r>
          </w:p>
        </w:tc>
        <w:tc>
          <w:tcPr>
            <w:tcW w:type="dxa" w:w="1600"/>
            <w:tcMar>
              <w:top w:type="dxa" w:w="30"/>
              <w:left w:type="dxa" w:w="80"/>
              <w:bottom w:type="dxa" w:w="30"/>
              <w:right w:type="dxa" w:w="80"/>
            </w:tcMar>
          </w:tcPr>
          <w:p>
            <w:r>
              <w:rPr>
                <w:b w:val="false"/>
                <w:bCs w:val="false"/>
                <w:sz w:val="18"/>
                <w:szCs w:val="18"/>
              </w:rPr>
              <w:t xml:space="preserve">2 cases</w:t>
            </w:r>
          </w:p>
        </w:tc>
        <w:tc>
          <w:tcPr>
            <w:tcW w:type="dxa" w:w="1600"/>
            <w:tcMar>
              <w:top w:type="dxa" w:w="30"/>
              <w:left w:type="dxa" w:w="80"/>
              <w:bottom w:type="dxa" w:w="30"/>
              <w:right w:type="dxa" w:w="80"/>
            </w:tcMar>
          </w:tcPr>
          <w:p>
            <w:r>
              <w:rPr>
                <w:b w:val="false"/>
                <w:bCs w:val="false"/>
                <w:sz w:val="18"/>
                <w:szCs w:val="18"/>
              </w:rPr>
              <w:t xml:space="preserve">8</w:t>
            </w:r>
          </w:p>
        </w:tc>
        <w:tc>
          <w:tcPr>
            <w:tcW w:type="dxa" w:w="1600"/>
            <w:tcMar>
              <w:top w:type="dxa" w:w="30"/>
              <w:left w:type="dxa" w:w="80"/>
              <w:bottom w:type="dxa" w:w="30"/>
              <w:right w:type="dxa" w:w="80"/>
            </w:tcMar>
          </w:tcPr>
          <w:p>
            <w:r>
              <w:rPr>
                <w:b w:val="false"/>
                <w:bCs w:val="false"/>
                <w:sz w:val="18"/>
                <w:szCs w:val="18"/>
              </w:rPr>
              <w:t xml:space="preserve">1</w:t>
            </w:r>
          </w:p>
        </w:tc>
      </w:tr>
    </w:tbl>
    <w:p>
      <w:pPr>
        <w:spacing w:after="60"/>
      </w:pPr>
    </w:p>
    <w:p>
      <w:pPr>
        <w:spacing w:after="70" w:line="252"/>
      </w:pPr>
      <w:r>
        <w:t xml:space="preserve">On obvious cases the AI coped fine without help. The rulebook earned its place where an exception was easy to miss. On a properly recorded change of email domain, the AI without it blocked a safe payment every time; with it, the payment went through every time. Testing caught our own slips too. Our first rulebook was too strict, and one test case left out facts the AI needed, so we fixed both. The one error left traced back to an ambiguous rule in our made-up payment policy, and no rulebook can fix that.</w:t>
      </w:r>
    </w:p>
    <w:p>
      <w:pPr>
        <w:pBdr>
          <w:bottom w:val="single" w:color="C9D3DA" w:sz="4" w:space="2"/>
        </w:pBdr>
        <w:spacing w:after="40" w:before="110"/>
      </w:pPr>
      <w:r>
        <w:rPr>
          <w:b/>
          <w:bCs/>
          <w:color w:val="0F6B6B"/>
          <w:sz w:val="22"/>
          <w:szCs w:val="22"/>
        </w:rPr>
        <w:t xml:space="preserve">Limits</w:t>
      </w:r>
    </w:p>
    <w:p>
      <w:pPr>
        <w:spacing w:after="70" w:line="252"/>
      </w:pPr>
      <w:r>
        <w:t xml:space="preserve">Eleven cases and a single model are enough to show a direction, and too few for an error rate. The policy and data are invented, and the briefing scores lean on keywords. Code, for its part, can only check that a process was followed. A reviewer who has been properly fooled can still approve.</w:t>
      </w:r>
    </w:p>
    <w:p>
      <w:pPr>
        <w:pBdr>
          <w:bottom w:val="single" w:color="C9D3DA" w:sz="4" w:space="2"/>
        </w:pBdr>
        <w:spacing w:after="40" w:before="110"/>
      </w:pPr>
      <w:r>
        <w:rPr>
          <w:b/>
          <w:bCs/>
          <w:color w:val="0F6B6B"/>
          <w:sz w:val="22"/>
          <w:szCs w:val="22"/>
        </w:rPr>
        <w:t xml:space="preserve">What we recommend</w:t>
      </w:r>
    </w:p>
    <w:p>
      <w:pPr>
        <w:spacing w:after="70" w:line="252"/>
      </w:pPr>
      <w:r>
        <w:t xml:space="preserve">Make the six oversight choices on purpose. The controls that must never fail, such as independent verification, separation of duties and cancelling an approval when details change, belong in the software. Use rulebooks for judgment at the edges and test them, counting false alarms as well as missed fraud. And if a policy can be read two ways, sort out the policy first.</w:t>
      </w:r>
    </w:p>
    <w:sectPr>
      <w:pgSz w:w="11906" w:h="16838" w:orient="portrait"/>
      <w:pgMar w:top="760" w:right="794" w:bottom="700" w:left="79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Oversight Design Bench: One-page summary</dc:title>
  <dc:creator>Oversight Design Bench team</dc:creator>
  <cp:lastModifiedBy>Un-named</cp:lastModifiedBy>
  <cp:revision>1</cp:revision>
  <dcterms:created xsi:type="dcterms:W3CDTF">2026-10-08T14:01:11.763Z</dcterms:created>
  <dcterms:modified xsi:type="dcterms:W3CDTF">2026-10-08T14:01:11.764Z</dcterms:modified>
</cp:coreProperties>
</file>

<file path=docProps/custom.xml><?xml version="1.0" encoding="utf-8"?>
<Properties xmlns="http://schemas.openxmlformats.org/officeDocument/2006/custom-properties" xmlns:vt="http://schemas.openxmlformats.org/officeDocument/2006/docPropsVTypes"/>
</file>