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仿宋_GB2312"/>
          <w:color w:val="FF0000"/>
          <w:lang w:eastAsia="zh-CN"/>
        </w:rPr>
      </w:pPr>
      <w:r>
        <w:rPr>
          <w:rFonts w:hint="eastAsia" w:ascii="仿宋" w:hAnsi="仿宋" w:eastAsia="仿宋" w:cs="仿宋"/>
          <w:bCs w:val="0"/>
          <w:color w:val="FF0000"/>
          <w:kern w:val="2"/>
          <w:sz w:val="24"/>
          <w:szCs w:val="24"/>
          <w:lang w:val="en-US" w:eastAsia="zh-CN" w:bidi="ar-SA"/>
        </w:rPr>
        <w:t>目录修改：</w:t>
      </w:r>
    </w:p>
    <w:sdt>
      <w:sdtPr>
        <w:rPr>
          <w:rFonts w:ascii="宋体" w:hAnsi="宋体" w:eastAsia="宋体" w:cs="Times New Roman"/>
          <w:kern w:val="2"/>
          <w:sz w:val="21"/>
          <w:szCs w:val="24"/>
          <w:lang w:val="en-US" w:eastAsia="zh-CN" w:bidi="ar-SA"/>
        </w:rPr>
        <w:id w:val="77867605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eastAsia="zh-CN"/>
            </w:rPr>
            <w:fldChar w:fldCharType="begin"/>
          </w:r>
          <w:r>
            <w:rPr>
              <w:rFonts w:hint="eastAsia"/>
              <w:lang w:eastAsia="zh-CN"/>
            </w:rPr>
            <w:instrText xml:space="preserve">TOC \o "1-1" \h \u </w:instrText>
          </w:r>
          <w:r>
            <w:rPr>
              <w:rFonts w:hint="eastAsia"/>
              <w:lang w:eastAsia="zh-CN"/>
            </w:rPr>
            <w:fldChar w:fldCharType="separate"/>
          </w:r>
          <w:r>
            <w:rPr>
              <w:rFonts w:hint="eastAsia"/>
              <w:b/>
              <w:bCs/>
              <w:lang w:eastAsia="zh-CN"/>
            </w:rPr>
            <w:fldChar w:fldCharType="begin"/>
          </w:r>
          <w:r>
            <w:rPr>
              <w:rFonts w:hint="eastAsia"/>
              <w:b/>
              <w:bCs/>
              <w:lang w:eastAsia="zh-CN"/>
            </w:rPr>
            <w:instrText xml:space="preserve"> HYPERLINK \l _Toc1442698584 </w:instrText>
          </w:r>
          <w:r>
            <w:rPr>
              <w:rFonts w:hint="eastAsia"/>
              <w:b/>
              <w:bCs/>
              <w:lang w:eastAsia="zh-CN"/>
            </w:rPr>
            <w:fldChar w:fldCharType="separate"/>
          </w:r>
          <w:r>
            <w:rPr>
              <w:rFonts w:hint="eastAsia" w:ascii="黑体" w:hAnsi="黑体" w:eastAsia="黑体" w:cs="黑体"/>
              <w:b/>
              <w:bCs/>
              <w:szCs w:val="30"/>
              <w:lang w:eastAsia="zh-CN"/>
            </w:rPr>
            <w:t xml:space="preserve">第二章 </w:t>
          </w:r>
          <w:r>
            <w:rPr>
              <w:rFonts w:hint="eastAsia" w:ascii="黑体" w:hAnsi="黑体" w:eastAsia="黑体" w:cs="黑体"/>
              <w:b/>
              <w:bCs/>
              <w:szCs w:val="30"/>
            </w:rPr>
            <w:t>申请人经营情况</w:t>
          </w:r>
          <w:r>
            <w:rPr>
              <w:rFonts w:hint="eastAsia" w:ascii="黑体" w:hAnsi="黑体" w:eastAsia="黑体" w:cs="黑体"/>
              <w:b/>
              <w:bCs/>
              <w:szCs w:val="30"/>
              <w:lang w:eastAsia="zh-CN"/>
            </w:rPr>
            <w:t>（集团整体）</w:t>
          </w:r>
          <w:r>
            <w:rPr>
              <w:b/>
              <w:bCs/>
            </w:rPr>
            <w:tab/>
          </w:r>
          <w:r>
            <w:rPr>
              <w:b/>
              <w:bCs/>
            </w:rPr>
            <w:fldChar w:fldCharType="begin"/>
          </w:r>
          <w:r>
            <w:rPr>
              <w:b/>
              <w:bCs/>
            </w:rPr>
            <w:instrText xml:space="preserve"> PAGEREF _Toc1442698584 \h </w:instrText>
          </w:r>
          <w:r>
            <w:rPr>
              <w:b/>
              <w:bCs/>
            </w:rPr>
            <w:fldChar w:fldCharType="separate"/>
          </w:r>
          <w:r>
            <w:rPr>
              <w:b/>
              <w:bCs/>
            </w:rPr>
            <w:t>1</w:t>
          </w:r>
          <w:r>
            <w:rPr>
              <w:b/>
              <w:bCs/>
            </w:rPr>
            <w:fldChar w:fldCharType="end"/>
          </w:r>
          <w:r>
            <w:rPr>
              <w:rFonts w:hint="eastAsia"/>
              <w:b/>
              <w:bCs/>
              <w:lang w:eastAsia="zh-CN"/>
            </w:rPr>
            <w:fldChar w:fldCharType="end"/>
          </w:r>
        </w:p>
        <w:p>
          <w:pPr>
            <w:pStyle w:val="13"/>
            <w:tabs>
              <w:tab w:val="right" w:leader="dot" w:pos="8306"/>
            </w:tabs>
          </w:pPr>
          <w:r>
            <w:rPr>
              <w:rFonts w:hint="eastAsia"/>
              <w:lang w:eastAsia="zh-CN"/>
            </w:rPr>
            <w:fldChar w:fldCharType="begin"/>
          </w:r>
          <w:r>
            <w:rPr>
              <w:rFonts w:hint="eastAsia"/>
              <w:lang w:eastAsia="zh-CN"/>
            </w:rPr>
            <w:instrText xml:space="preserve"> HYPERLINK \l _Toc2021497351 </w:instrText>
          </w:r>
          <w:r>
            <w:rPr>
              <w:rFonts w:hint="eastAsia"/>
              <w:lang w:eastAsia="zh-CN"/>
            </w:rPr>
            <w:fldChar w:fldCharType="separate"/>
          </w:r>
          <w:r>
            <w:rPr>
              <w:rFonts w:hint="eastAsia" w:ascii="仿宋" w:hAnsi="仿宋" w:eastAsia="仿宋" w:cs="仿宋"/>
              <w:kern w:val="0"/>
              <w:szCs w:val="24"/>
              <w:lang w:val="en-US" w:eastAsia="zh-CN" w:bidi="ar-SA"/>
            </w:rPr>
            <w:t>人近三年及一期主营业务收人构成情况</w:t>
          </w:r>
          <w:r>
            <w:tab/>
          </w:r>
          <w:r>
            <w:fldChar w:fldCharType="begin"/>
          </w:r>
          <w:r>
            <w:instrText xml:space="preserve"> PAGEREF _Toc2021497351 \h </w:instrText>
          </w:r>
          <w:r>
            <w:fldChar w:fldCharType="separate"/>
          </w:r>
          <w:r>
            <w:t>1</w:t>
          </w:r>
          <w:r>
            <w:fldChar w:fldCharType="end"/>
          </w:r>
          <w:r>
            <w:rPr>
              <w:rFonts w:hint="eastAsia"/>
              <w:lang w:eastAsia="zh-CN"/>
            </w:rPr>
            <w:fldChar w:fldCharType="end"/>
          </w:r>
        </w:p>
        <w:p>
          <w:pPr>
            <w:bidi w:val="0"/>
            <w:rPr>
              <w:rFonts w:hint="eastAsia"/>
              <w:lang w:eastAsia="zh-CN"/>
            </w:rPr>
          </w:pPr>
          <w:r>
            <w:rPr>
              <w:rFonts w:hint="eastAsia"/>
              <w:lang w:eastAsia="zh-CN"/>
            </w:rPr>
            <w:fldChar w:fldCharType="end"/>
          </w:r>
        </w:p>
      </w:sdtContent>
    </w:sdt>
    <w:p>
      <w:pPr>
        <w:pStyle w:val="6"/>
        <w:keepNext/>
        <w:keepLines/>
        <w:pageBreakBefore w:val="0"/>
        <w:widowControl w:val="0"/>
        <w:numPr>
          <w:ilvl w:val="0"/>
          <w:numId w:val="1"/>
        </w:numPr>
        <w:kinsoku/>
        <w:wordWrap/>
        <w:overflowPunct/>
        <w:topLinePunct w:val="0"/>
        <w:autoSpaceDE/>
        <w:autoSpaceDN/>
        <w:bidi w:val="0"/>
        <w:adjustRightInd/>
        <w:snapToGrid/>
        <w:spacing w:before="62" w:after="62" w:line="360" w:lineRule="auto"/>
        <w:ind w:firstLine="0" w:firstLineChars="0"/>
        <w:jc w:val="center"/>
        <w:textAlignment w:val="auto"/>
        <w:outlineLvl w:val="0"/>
        <w:rPr>
          <w:rFonts w:hint="eastAsia" w:ascii="黑体" w:hAnsi="黑体" w:eastAsia="黑体" w:cs="黑体"/>
          <w:color w:val="000000"/>
          <w:sz w:val="30"/>
          <w:szCs w:val="30"/>
          <w:lang w:eastAsia="zh-CN"/>
        </w:rPr>
      </w:pPr>
      <w:bookmarkStart w:id="0" w:name="_Toc1442698584"/>
      <w:r>
        <w:rPr>
          <w:rFonts w:hint="eastAsia" w:ascii="黑体" w:hAnsi="黑体" w:eastAsia="黑体" w:cs="黑体"/>
          <w:color w:val="000000"/>
          <w:sz w:val="30"/>
          <w:szCs w:val="30"/>
        </w:rPr>
        <w:t>申请人经营情况</w:t>
      </w:r>
      <w:r>
        <w:rPr>
          <w:rFonts w:hint="eastAsia" w:ascii="黑体" w:hAnsi="黑体" w:eastAsia="黑体" w:cs="黑体"/>
          <w:color w:val="000000"/>
          <w:sz w:val="30"/>
          <w:szCs w:val="30"/>
          <w:lang w:eastAsia="zh-CN"/>
        </w:rPr>
        <w:t>（集团整体）</w:t>
      </w:r>
      <w:bookmarkEnd w:id="0"/>
    </w:p>
    <w:p>
      <w:pPr>
        <w:pStyle w:val="2"/>
        <w:rPr>
          <w:rFonts w:hint="eastAsia" w:eastAsia="仿宋_GB2312"/>
          <w:color w:val="FF0000"/>
          <w:lang w:eastAsia="zh-CN"/>
        </w:rPr>
      </w:pPr>
      <w:r>
        <w:rPr>
          <w:rFonts w:hint="eastAsia" w:ascii="仿宋" w:hAnsi="仿宋" w:eastAsia="仿宋" w:cs="仿宋"/>
          <w:bCs w:val="0"/>
          <w:color w:val="FF0000"/>
          <w:kern w:val="2"/>
          <w:sz w:val="24"/>
          <w:szCs w:val="24"/>
          <w:lang w:val="en-US" w:eastAsia="zh-CN" w:bidi="ar-SA"/>
        </w:rPr>
        <w:t>章节序号修改：</w:t>
      </w:r>
    </w:p>
    <w:p>
      <w:pPr>
        <w:pStyle w:val="7"/>
        <w:keepNext/>
        <w:keepLines/>
        <w:pageBreakBefore w:val="0"/>
        <w:widowControl w:val="0"/>
        <w:kinsoku/>
        <w:wordWrap/>
        <w:overflowPunct/>
        <w:topLinePunct w:val="0"/>
        <w:autoSpaceDE/>
        <w:autoSpaceDN/>
        <w:bidi w:val="0"/>
        <w:adjustRightInd/>
        <w:snapToGrid/>
        <w:spacing w:before="62" w:after="62" w:line="360" w:lineRule="auto"/>
        <w:ind w:firstLine="600"/>
        <w:textAlignment w:val="auto"/>
        <w:rPr>
          <w:rFonts w:hint="eastAsia" w:ascii="宋体" w:hAnsi="宋体" w:eastAsia="宋体" w:cs="宋体"/>
          <w:b/>
          <w:bCs w:val="0"/>
          <w:color w:val="000000"/>
          <w:kern w:val="2"/>
          <w:sz w:val="28"/>
          <w:szCs w:val="28"/>
          <w:lang w:val="en-US" w:eastAsia="zh-CN" w:bidi="ar-SA"/>
        </w:rPr>
      </w:pPr>
      <w:r>
        <w:rPr>
          <w:rFonts w:hint="eastAsia" w:ascii="宋体" w:hAnsi="宋体" w:eastAsia="宋体" w:cs="宋体"/>
          <w:b/>
          <w:bCs w:val="0"/>
          <w:color w:val="000000"/>
          <w:kern w:val="2"/>
          <w:sz w:val="28"/>
          <w:szCs w:val="28"/>
          <w:lang w:val="en-US" w:eastAsia="zh-CN" w:bidi="ar-SA"/>
        </w:rPr>
        <w:t>二、生产经营状况</w:t>
      </w:r>
    </w:p>
    <w:p>
      <w:pPr>
        <w:pStyle w:val="8"/>
        <w:keepNext/>
        <w:keepLines/>
        <w:pageBreakBefore w:val="0"/>
        <w:widowControl w:val="0"/>
        <w:kinsoku/>
        <w:wordWrap/>
        <w:overflowPunct/>
        <w:topLinePunct w:val="0"/>
        <w:autoSpaceDE/>
        <w:autoSpaceDN/>
        <w:bidi w:val="0"/>
        <w:adjustRightInd/>
        <w:snapToGrid/>
        <w:spacing w:before="62" w:after="62" w:line="360" w:lineRule="auto"/>
        <w:ind w:firstLine="481" w:firstLineChars="200"/>
        <w:textAlignment w:val="auto"/>
        <w:outlineLvl w:val="2"/>
        <w:rPr>
          <w:rFonts w:hint="eastAsia" w:ascii="仿宋" w:hAnsi="仿宋" w:eastAsia="仿宋" w:cs="仿宋"/>
          <w:bCs w:val="0"/>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（三）经营分析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仿宋" w:hAnsi="仿宋" w:eastAsia="仿宋" w:cs="仿宋"/>
          <w:bCs w:val="0"/>
          <w:color w:val="000000"/>
          <w:kern w:val="2"/>
          <w:sz w:val="24"/>
          <w:szCs w:val="24"/>
          <w:lang w:val="en-US" w:eastAsia="zh-CN" w:bidi="ar-SA"/>
        </w:rPr>
      </w:pPr>
      <w:r>
        <w:rPr>
          <w:rFonts w:hint="eastAsia" w:ascii="仿宋" w:hAnsi="仿宋" w:eastAsia="仿宋" w:cs="仿宋"/>
          <w:bCs w:val="0"/>
          <w:color w:val="000000"/>
          <w:kern w:val="2"/>
          <w:sz w:val="24"/>
          <w:szCs w:val="24"/>
          <w:lang w:val="en-US" w:eastAsia="zh-CN" w:bidi="ar-SA"/>
        </w:rPr>
        <w:t>申请人成立于2021年6月，是日照市市级城投公司，公司当前承担着日照市大型城市基础设施投资、融资、建设及运营的重要任务，并在逐步探索实行多元化经营管理的发展模式。在推动日照市近几年的城市大型基础设施建设及运营等领域做出了巨大贡献。主要业务收入来源包括工程施工、安置房及商品房销售、物资销售、售水及污水处理业务等。申请人近三年及一期经营情况如表所示：</w:t>
      </w:r>
    </w:p>
    <w:p>
      <w:pPr>
        <w:pStyle w:val="2"/>
        <w:rPr>
          <w:rFonts w:hint="eastAsia"/>
          <w:color w:val="FF0000"/>
          <w:lang w:val="en-US" w:eastAsia="zh-CN"/>
        </w:rPr>
      </w:pPr>
      <w:r>
        <w:rPr>
          <w:rFonts w:hint="eastAsia" w:ascii="仿宋" w:hAnsi="仿宋" w:eastAsia="仿宋" w:cs="仿宋"/>
          <w:bCs w:val="0"/>
          <w:color w:val="FF0000"/>
          <w:kern w:val="2"/>
          <w:sz w:val="24"/>
          <w:szCs w:val="24"/>
          <w:lang w:val="en-US" w:eastAsia="zh-CN" w:bidi="ar-SA"/>
        </w:rPr>
        <w:t>修改表格：</w:t>
      </w:r>
    </w:p>
    <w:p>
      <w:pPr>
        <w:pStyle w:val="2"/>
        <w:jc w:val="center"/>
        <w:outlineLvl w:val="0"/>
        <w:rPr>
          <w:rFonts w:hint="eastAsia"/>
          <w:color w:val="000000"/>
          <w:lang w:val="en-US" w:eastAsia="zh-CN"/>
        </w:rPr>
      </w:pPr>
      <w:bookmarkStart w:id="1" w:name="_Toc2021497351"/>
      <w:r>
        <w:rPr>
          <w:rFonts w:hint="eastAsia" w:ascii="仿宋" w:hAnsi="仿宋" w:eastAsia="仿宋" w:cs="仿宋"/>
          <w:b/>
          <w:color w:val="000000"/>
          <w:kern w:val="0"/>
          <w:sz w:val="24"/>
          <w:szCs w:val="24"/>
          <w:lang w:val="en-US" w:eastAsia="zh-CN" w:bidi="ar-SA"/>
        </w:rPr>
        <w:t>申请个近三年及一期主营业务收入构成情况</w:t>
      </w:r>
      <w:bookmarkEnd w:id="1"/>
    </w:p>
    <w:p>
      <w:pPr>
        <w:pStyle w:val="2"/>
        <w:jc w:val="right"/>
        <w:rPr>
          <w:rFonts w:hint="eastAsia" w:ascii="楷体" w:hAnsi="楷体" w:cs="楷体"/>
          <w:bCs w:val="0"/>
          <w:color w:val="000000"/>
          <w:kern w:val="2"/>
          <w:sz w:val="24"/>
          <w:szCs w:val="24"/>
          <w:lang w:val="en-US" w:eastAsia="zh-CN" w:bidi="ar-SA"/>
        </w:rPr>
      </w:pPr>
      <w:r>
        <w:rPr>
          <w:rFonts w:hint="eastAsia" w:ascii="楷体" w:hAnsi="楷体" w:cs="楷体"/>
          <w:bCs w:val="0"/>
          <w:color w:val="000000"/>
          <w:kern w:val="2"/>
          <w:sz w:val="24"/>
          <w:szCs w:val="24"/>
          <w:lang w:val="en-US" w:eastAsia="zh-CN" w:bidi="ar-SA"/>
        </w:rPr>
        <w:t>单位：万元、%</w:t>
      </w:r>
    </w:p>
    <w:tbl>
      <w:tblPr>
        <w:tblStyle w:val="11"/>
        <w:tblW w:w="9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825"/>
        <w:gridCol w:w="862"/>
        <w:gridCol w:w="863"/>
        <w:gridCol w:w="862"/>
        <w:gridCol w:w="863"/>
        <w:gridCol w:w="862"/>
        <w:gridCol w:w="863"/>
        <w:gridCol w:w="862"/>
        <w:gridCol w:w="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业务板块</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2021年度</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2022年度</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2023年度</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2024年1-3月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282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 w:hAnsi="仿宋" w:eastAsia="仿宋" w:cs="仿宋"/>
                <w:i w:val="0"/>
                <w:color w:val="000000"/>
                <w:sz w:val="20"/>
                <w:szCs w:val="20"/>
                <w:u w:val="none"/>
              </w:rPr>
            </w:pP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金额</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占比</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金额</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占比</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金额</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占比</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金额</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1.营业收入</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val="0"/>
                <w:bCs/>
                <w:i w:val="0"/>
                <w:color w:val="000000"/>
                <w:sz w:val="20"/>
                <w:szCs w:val="20"/>
                <w:u w:val="none"/>
              </w:rPr>
            </w:pPr>
            <w:r>
              <w:rPr>
                <w:rFonts w:hint="eastAsia" w:ascii="仿宋" w:hAnsi="仿宋" w:eastAsia="仿宋" w:cs="仿宋"/>
                <w:b w:val="0"/>
                <w:bCs/>
                <w:i w:val="0"/>
                <w:color w:val="000000"/>
                <w:kern w:val="0"/>
                <w:sz w:val="20"/>
                <w:szCs w:val="20"/>
                <w:u w:val="none"/>
                <w:lang w:val="en-US" w:eastAsia="zh-CN" w:bidi="ar"/>
              </w:rPr>
              <w:t xml:space="preserve">47.44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val="0"/>
                <w:bCs/>
                <w:i w:val="0"/>
                <w:color w:val="000000"/>
                <w:sz w:val="20"/>
                <w:szCs w:val="20"/>
                <w:u w:val="none"/>
              </w:rPr>
            </w:pPr>
            <w:r>
              <w:rPr>
                <w:rFonts w:hint="eastAsia" w:ascii="仿宋" w:hAnsi="仿宋" w:eastAsia="仿宋" w:cs="仿宋"/>
                <w:b w:val="0"/>
                <w:bCs/>
                <w:i w:val="0"/>
                <w:color w:val="000000"/>
                <w:kern w:val="0"/>
                <w:sz w:val="20"/>
                <w:szCs w:val="20"/>
                <w:u w:val="none"/>
                <w:lang w:val="en-US" w:eastAsia="zh-CN" w:bidi="ar"/>
              </w:rPr>
              <w:t xml:space="preserve">100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val="0"/>
                <w:bCs/>
                <w:i w:val="0"/>
                <w:color w:val="000000"/>
                <w:sz w:val="20"/>
                <w:szCs w:val="20"/>
                <w:u w:val="none"/>
              </w:rPr>
            </w:pPr>
            <w:r>
              <w:rPr>
                <w:rFonts w:hint="eastAsia" w:ascii="仿宋" w:hAnsi="仿宋" w:eastAsia="仿宋" w:cs="仿宋"/>
                <w:b w:val="0"/>
                <w:bCs/>
                <w:i w:val="0"/>
                <w:color w:val="000000"/>
                <w:kern w:val="0"/>
                <w:sz w:val="20"/>
                <w:szCs w:val="20"/>
                <w:u w:val="none"/>
                <w:lang w:val="en-US" w:eastAsia="zh-CN" w:bidi="ar"/>
              </w:rPr>
              <w:t xml:space="preserve">66.01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val="0"/>
                <w:bCs/>
                <w:i w:val="0"/>
                <w:color w:val="000000"/>
                <w:sz w:val="20"/>
                <w:szCs w:val="20"/>
                <w:u w:val="none"/>
              </w:rPr>
            </w:pPr>
            <w:r>
              <w:rPr>
                <w:rFonts w:hint="eastAsia" w:ascii="仿宋" w:hAnsi="仿宋" w:eastAsia="仿宋" w:cs="仿宋"/>
                <w:b w:val="0"/>
                <w:bCs/>
                <w:i w:val="0"/>
                <w:color w:val="000000"/>
                <w:kern w:val="0"/>
                <w:sz w:val="20"/>
                <w:szCs w:val="20"/>
                <w:u w:val="none"/>
                <w:lang w:val="en-US" w:eastAsia="zh-CN" w:bidi="ar"/>
              </w:rPr>
              <w:t xml:space="preserve">100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val="0"/>
                <w:bCs/>
                <w:i w:val="0"/>
                <w:color w:val="000000"/>
                <w:sz w:val="20"/>
                <w:szCs w:val="20"/>
                <w:u w:val="none"/>
              </w:rPr>
            </w:pPr>
            <w:r>
              <w:rPr>
                <w:rFonts w:hint="eastAsia" w:ascii="仿宋" w:hAnsi="仿宋" w:eastAsia="仿宋" w:cs="仿宋"/>
                <w:b w:val="0"/>
                <w:bCs/>
                <w:i w:val="0"/>
                <w:color w:val="000000"/>
                <w:kern w:val="0"/>
                <w:sz w:val="20"/>
                <w:szCs w:val="20"/>
                <w:u w:val="none"/>
                <w:lang w:val="en-US" w:eastAsia="zh-CN" w:bidi="ar"/>
              </w:rPr>
              <w:t xml:space="preserve">60.97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val="0"/>
                <w:bCs/>
                <w:i w:val="0"/>
                <w:color w:val="000000"/>
                <w:sz w:val="20"/>
                <w:szCs w:val="20"/>
                <w:u w:val="none"/>
              </w:rPr>
            </w:pPr>
            <w:r>
              <w:rPr>
                <w:rFonts w:hint="eastAsia" w:ascii="仿宋" w:hAnsi="仿宋" w:eastAsia="仿宋" w:cs="仿宋"/>
                <w:b w:val="0"/>
                <w:bCs/>
                <w:i w:val="0"/>
                <w:color w:val="000000"/>
                <w:kern w:val="0"/>
                <w:sz w:val="20"/>
                <w:szCs w:val="20"/>
                <w:u w:val="none"/>
                <w:lang w:val="en-US" w:eastAsia="zh-CN" w:bidi="ar"/>
              </w:rPr>
              <w:t xml:space="preserve">100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val="0"/>
                <w:bCs/>
                <w:i w:val="0"/>
                <w:color w:val="000000"/>
                <w:sz w:val="20"/>
                <w:szCs w:val="20"/>
                <w:u w:val="none"/>
              </w:rPr>
            </w:pPr>
            <w:r>
              <w:rPr>
                <w:rFonts w:hint="eastAsia" w:ascii="仿宋" w:hAnsi="仿宋" w:eastAsia="仿宋" w:cs="仿宋"/>
                <w:b w:val="0"/>
                <w:bCs/>
                <w:i w:val="0"/>
                <w:color w:val="000000"/>
                <w:kern w:val="0"/>
                <w:sz w:val="20"/>
                <w:szCs w:val="20"/>
                <w:u w:val="none"/>
                <w:lang w:val="en-US" w:eastAsia="zh-CN" w:bidi="ar"/>
              </w:rPr>
              <w:t xml:space="preserve">8.10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val="0"/>
                <w:bCs/>
                <w:i w:val="0"/>
                <w:color w:val="000000"/>
                <w:sz w:val="20"/>
                <w:szCs w:val="20"/>
                <w:u w:val="none"/>
              </w:rPr>
            </w:pPr>
            <w:r>
              <w:rPr>
                <w:rFonts w:hint="eastAsia" w:ascii="仿宋" w:hAnsi="仿宋" w:eastAsia="仿宋" w:cs="仿宋"/>
                <w:b w:val="0"/>
                <w:bCs/>
                <w:i w:val="0"/>
                <w:color w:val="000000"/>
                <w:kern w:val="0"/>
                <w:sz w:val="20"/>
                <w:szCs w:val="20"/>
                <w:u w:val="none"/>
                <w:lang w:val="en-US" w:eastAsia="zh-CN" w:bidi="ar"/>
              </w:rPr>
              <w:t xml:space="preserve">100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安置房销售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5.41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11.40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5.69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kern w:val="0"/>
                <w:sz w:val="20"/>
                <w:szCs w:val="20"/>
                <w:u w:val="none"/>
                <w:lang w:val="en-US" w:eastAsia="zh-CN" w:bidi="ar"/>
              </w:rPr>
            </w:pPr>
            <w:r>
              <w:rPr>
                <w:rFonts w:hint="eastAsia" w:ascii="仿宋" w:hAnsi="仿宋" w:eastAsia="仿宋" w:cs="仿宋"/>
                <w:b/>
                <w:bCs/>
                <w:i w:val="0"/>
                <w:color w:val="000000"/>
                <w:kern w:val="0"/>
                <w:sz w:val="20"/>
                <w:szCs w:val="20"/>
                <w:u w:val="none"/>
                <w:lang w:val="en-US" w:eastAsia="zh-CN" w:bidi="ar"/>
              </w:rPr>
              <w:t xml:space="preserve">8.63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kern w:val="0"/>
                <w:sz w:val="20"/>
                <w:szCs w:val="20"/>
                <w:u w:val="none"/>
                <w:lang w:val="en-US" w:eastAsia="zh-CN" w:bidi="ar"/>
              </w:rPr>
            </w:pPr>
            <w:r>
              <w:rPr>
                <w:rFonts w:hint="eastAsia" w:ascii="仿宋" w:hAnsi="仿宋" w:eastAsia="仿宋" w:cs="仿宋"/>
                <w:b/>
                <w:bCs/>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商品房销售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6.44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135.7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10.13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15.34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9.89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16.23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工程项目-委托代建及项目管理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4.82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10.15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2.86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6.88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2.4l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3.95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0.o0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工程项目-P</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2.65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5.59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2.55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3.86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5.80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9.52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0.68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8.36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工程项目-工程试工</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7.90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16.65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14.11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21.37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13.45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22.O5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3.61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44.59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污水处理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1.80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3.80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1.96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2.98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1.87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3.06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0.36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售水</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2.31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4.86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2.25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3.40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2.73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4.48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0.61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7.55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园林养护服务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2.51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5.29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1.98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2.93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4.80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0.92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11.34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劳务服务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6.33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2.47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资产运维及物业管理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1.32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2.79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2.63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3.98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2.56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4.20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0.39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保安服务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1.27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2.68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1.53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2.32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2.67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0.25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景观设计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0.90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1.89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1.02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1.55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1.02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其他业务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3.83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8.07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5.76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8.72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5.99 </w:t>
            </w:r>
          </w:p>
        </w:tc>
        <w:tc>
          <w:tcPr>
            <w:tcW w:w="863"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9.82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0.67 </w:t>
            </w:r>
          </w:p>
        </w:tc>
        <w:tc>
          <w:tcPr>
            <w:tcW w:w="863"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8.29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2.毛利润</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13.79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100</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15.44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100</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12.89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100</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1.71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安置房销售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4.05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29.37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1.73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11.21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商品房销售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1.83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13.30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3.60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23.35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3.04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23.59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5.13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工程项目-委托代建及项目管理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1.69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12.28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1.69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10.93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工程项目-PPP</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0.73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5.29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2.76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1.13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8.79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0.18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10.29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工程项目-工程施工</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2.06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14.96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2.17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14.07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3.68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28.51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0.63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36.79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物资销售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3.41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1.97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污水处理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3.38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0.53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3.44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0.50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3.91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售水</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2.65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1.84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2.58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园林养护服务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2.87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2.82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0.57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4.44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0.19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10.85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劳务服务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0.18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资产运维及物业管理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-2.57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0.76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4.89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0.62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4.77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保安服务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1.57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1.78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2.46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景观设计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2.21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2.67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3.03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其他业务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1.50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10.91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3.07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19.86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2.02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15.66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18.67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3.毛利率</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29.06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23.39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21.14</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安置房销售</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74.89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30.39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商品房销售</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28.47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35.6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30.73</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工程项目-委托代建及项目管理</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35.15</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59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工程项目-PPP</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27.53</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16.72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19.52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工程项目-工程施工</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26.12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15.41</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27.33</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物资销售</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14.32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0.28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2.38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污水处理</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25.85</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27.01</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26.99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售水</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15.82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12.62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12.16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园林养护服务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15.78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21.98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19.56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劳务服务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1.74</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1.66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资产运维及物业管理</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-26.8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28.76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24</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保安服务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17.04</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17.98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19.47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景观设计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33.92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40.26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38.11</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其他业务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39.27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53.28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33.67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47.48</w:t>
            </w:r>
          </w:p>
        </w:tc>
      </w:tr>
    </w:tbl>
    <w:p>
      <w:pPr>
        <w:adjustRightInd w:val="0"/>
        <w:snapToGrid w:val="0"/>
        <w:spacing w:beforeLines="0" w:afterLines="0" w:line="360" w:lineRule="auto"/>
        <w:ind w:firstLine="480"/>
        <w:rPr>
          <w:rFonts w:hint="eastAsia" w:ascii="仿宋" w:hAnsi="仿宋" w:eastAsia="仿宋" w:cs="仿宋"/>
          <w:color w:val="FF0000"/>
          <w:kern w:val="0"/>
          <w:sz w:val="24"/>
          <w:szCs w:val="24"/>
          <w:lang w:eastAsia="zh-CN"/>
        </w:rPr>
      </w:pPr>
      <w:r>
        <w:rPr>
          <w:rFonts w:hint="eastAsia" w:ascii="仿宋" w:hAnsi="仿宋" w:eastAsia="仿宋" w:cs="仿宋"/>
          <w:color w:val="FF0000"/>
          <w:kern w:val="0"/>
          <w:sz w:val="24"/>
          <w:szCs w:val="24"/>
          <w:lang w:eastAsia="zh-CN"/>
        </w:rPr>
        <w:t>修改文字、标点、字体、字母大小写：</w:t>
      </w:r>
    </w:p>
    <w:p>
      <w:pPr>
        <w:adjustRightInd w:val="0"/>
        <w:snapToGrid w:val="0"/>
        <w:spacing w:beforeLines="0" w:afterLines="0" w:line="360" w:lineRule="auto"/>
        <w:ind w:firstLine="480"/>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rPr>
        <w:t>近</w:t>
      </w:r>
      <w:r>
        <w:rPr>
          <w:rFonts w:hint="eastAsia" w:ascii="仿宋" w:hAnsi="仿宋" w:eastAsia="仿宋" w:cs="仿宋"/>
          <w:color w:val="000000"/>
          <w:kern w:val="0"/>
          <w:sz w:val="24"/>
          <w:szCs w:val="24"/>
          <w:lang w:eastAsia="zh-CN"/>
        </w:rPr>
        <w:t>二</w:t>
      </w:r>
      <w:r>
        <w:rPr>
          <w:rFonts w:hint="eastAsia" w:ascii="仿宋" w:hAnsi="仿宋" w:eastAsia="仿宋" w:cs="仿宋"/>
          <w:color w:val="000000"/>
          <w:kern w:val="0"/>
          <w:sz w:val="24"/>
          <w:szCs w:val="24"/>
        </w:rPr>
        <w:t>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实现营业收</w:t>
      </w:r>
      <w:r>
        <w:rPr>
          <w:rFonts w:hint="eastAsia" w:ascii="仿宋" w:hAnsi="仿宋" w:eastAsia="仿宋" w:cs="仿宋"/>
          <w:color w:val="000000"/>
          <w:kern w:val="0"/>
          <w:sz w:val="24"/>
          <w:szCs w:val="24"/>
          <w:lang w:eastAsia="zh-CN"/>
        </w:rPr>
        <w:t>人</w:t>
      </w:r>
      <w:r>
        <w:rPr>
          <w:rFonts w:hint="eastAsia" w:ascii="仿宋" w:hAnsi="仿宋" w:eastAsia="仿宋" w:cs="仿宋"/>
          <w:color w:val="000000"/>
          <w:kern w:val="0"/>
          <w:sz w:val="24"/>
          <w:szCs w:val="24"/>
        </w:rPr>
        <w:t>分别为</w:t>
      </w:r>
      <w:r>
        <w:rPr>
          <w:rFonts w:hint="eastAsia" w:ascii="仿宋" w:hAnsi="仿宋" w:eastAsia="仿宋" w:cs="仿宋"/>
          <w:color w:val="000000"/>
          <w:kern w:val="0"/>
          <w:sz w:val="24"/>
          <w:szCs w:val="24"/>
          <w:lang w:val="en-US" w:eastAsia="zh-CN"/>
        </w:rPr>
        <w:t>47.44亿元、6601亿元、60.97亿元和8.10亿元</w:t>
      </w:r>
      <w:r>
        <w:rPr>
          <w:rFonts w:hint="eastAsia" w:ascii="仿宋" w:hAnsi="仿宋" w:eastAsia="仿宋" w:cs="仿宋"/>
          <w:color w:val="000000"/>
          <w:kern w:val="0"/>
          <w:sz w:val="24"/>
          <w:szCs w:val="24"/>
        </w:rPr>
        <w:t>。2022年度</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营业收入较2021年度增加</w:t>
      </w:r>
      <w:r>
        <w:rPr>
          <w:rFonts w:hint="eastAsia" w:ascii="仿宋" w:hAnsi="仿宋" w:eastAsia="仿宋" w:cs="仿宋"/>
          <w:color w:val="000000"/>
          <w:kern w:val="0"/>
          <w:sz w:val="24"/>
          <w:szCs w:val="24"/>
          <w:lang w:val="en-US" w:eastAsia="zh-CN"/>
        </w:rPr>
        <w:t>18.57亿元。</w:t>
      </w:r>
      <w:r>
        <w:rPr>
          <w:rFonts w:hint="eastAsia" w:ascii="仿宋" w:hAnsi="仿宋" w:eastAsia="仿宋" w:cs="仿宋"/>
          <w:color w:val="000000"/>
          <w:kern w:val="0"/>
          <w:sz w:val="24"/>
          <w:szCs w:val="24"/>
        </w:rPr>
        <w:t>增幅为39.14，</w:t>
      </w:r>
      <w:r>
        <w:rPr>
          <w:rFonts w:hint="eastAsia" w:ascii="国标黑体" w:hAnsi="国标黑体" w:eastAsia="国标黑体" w:cs="国标黑体"/>
          <w:color w:val="000000"/>
          <w:kern w:val="0"/>
          <w:sz w:val="24"/>
          <w:szCs w:val="24"/>
        </w:rPr>
        <w:t>主要系商品房销售、工程施工</w:t>
      </w:r>
      <w:r>
        <w:rPr>
          <w:rFonts w:hint="eastAsia" w:ascii="仿宋" w:hAnsi="仿宋" w:eastAsia="仿宋" w:cs="仿宋"/>
          <w:color w:val="000000"/>
          <w:kern w:val="0"/>
          <w:sz w:val="24"/>
          <w:szCs w:val="24"/>
        </w:rPr>
        <w:t>、</w:t>
      </w:r>
      <w:r>
        <w:rPr>
          <w:rFonts w:hint="eastAsia" w:ascii="仿宋" w:hAnsi="仿宋" w:eastAsia="仿宋" w:cs="仿宋"/>
          <w:color w:val="000000"/>
          <w:kern w:val="0"/>
          <w:sz w:val="32"/>
          <w:szCs w:val="32"/>
        </w:rPr>
        <w:t>物资销售板块收入增加所致</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val="en-US" w:eastAsia="zh-CN"/>
        </w:rPr>
        <w:t>2023年度营业收入较2022年减少5.03亿元，减幅为7.63%，</w:t>
      </w:r>
      <w:r>
        <w:rPr>
          <w:rFonts w:hint="eastAsia" w:ascii="仿宋" w:hAnsi="仿宋" w:eastAsia="仿宋" w:cs="仿宋"/>
          <w:color w:val="0000FF"/>
          <w:kern w:val="0"/>
          <w:sz w:val="24"/>
          <w:szCs w:val="24"/>
          <w:lang w:val="en-US" w:eastAsia="zh-CN"/>
        </w:rPr>
        <w:t>主要是因</w:t>
      </w:r>
      <w:r>
        <w:rPr>
          <w:rFonts w:hint="eastAsia" w:ascii="仿宋" w:hAnsi="仿宋" w:eastAsia="仿宋" w:cs="仿宋"/>
          <w:color w:val="000000"/>
          <w:kern w:val="0"/>
          <w:sz w:val="24"/>
          <w:szCs w:val="24"/>
          <w:lang w:val="en-US" w:eastAsia="zh-CN"/>
        </w:rPr>
        <w:t>为2023年无安置房销售业务。test，Test。</w:t>
      </w:r>
    </w:p>
    <w:p>
      <w:pPr>
        <w:spacing w:before="81" w:after="81" w:line="360" w:lineRule="auto"/>
        <w:ind w:firstLine="480"/>
        <w:rPr>
          <w:rFonts w:hint="eastAsia" w:ascii="仿宋" w:hAnsi="仿宋" w:eastAsia="仿宋" w:cs="仿宋"/>
          <w:color w:val="FF0000"/>
          <w:sz w:val="24"/>
          <w:szCs w:val="24"/>
          <w:lang w:eastAsia="zh-CN"/>
        </w:rPr>
      </w:pPr>
      <w:r>
        <w:rPr>
          <w:rFonts w:hint="eastAsia" w:ascii="仿宋" w:hAnsi="仿宋" w:eastAsia="仿宋" w:cs="仿宋"/>
          <w:color w:val="FF0000"/>
          <w:sz w:val="24"/>
          <w:szCs w:val="24"/>
          <w:lang w:eastAsia="zh-CN"/>
        </w:rPr>
        <w:t>删除语句：</w:t>
      </w:r>
    </w:p>
    <w:p>
      <w:pPr>
        <w:spacing w:before="81" w:after="81" w:line="360" w:lineRule="auto"/>
        <w:ind w:firstLine="480"/>
        <w:rPr>
          <w:rFonts w:hint="eastAsia" w:ascii="仿宋" w:hAnsi="仿宋" w:eastAsia="仿宋" w:cs="仿宋"/>
          <w:color w:val="000000"/>
          <w:sz w:val="24"/>
          <w:szCs w:val="24"/>
        </w:rPr>
      </w:pPr>
      <w:r>
        <w:rPr>
          <w:rFonts w:hint="eastAsia" w:ascii="仿宋" w:hAnsi="仿宋" w:eastAsia="仿宋" w:cs="仿宋"/>
          <w:color w:val="000000"/>
          <w:sz w:val="24"/>
          <w:szCs w:val="24"/>
        </w:rPr>
        <w:t>近三年及一期，</w:t>
      </w:r>
      <w:r>
        <w:rPr>
          <w:rFonts w:hint="eastAsia" w:ascii="仿宋" w:hAnsi="仿宋" w:eastAsia="仿宋" w:cs="仿宋"/>
          <w:color w:val="000000"/>
          <w:sz w:val="24"/>
          <w:szCs w:val="24"/>
          <w:lang w:eastAsia="zh-CN"/>
        </w:rPr>
        <w:t>申请人</w:t>
      </w:r>
      <w:r>
        <w:rPr>
          <w:rFonts w:hint="eastAsia" w:ascii="仿宋" w:hAnsi="仿宋" w:eastAsia="仿宋" w:cs="仿宋"/>
          <w:color w:val="000000"/>
          <w:sz w:val="24"/>
          <w:szCs w:val="24"/>
        </w:rPr>
        <w:t>安置房销售收入分别为</w:t>
      </w:r>
      <w:r>
        <w:rPr>
          <w:rFonts w:hint="eastAsia" w:ascii="仿宋" w:hAnsi="仿宋" w:eastAsia="仿宋" w:cs="仿宋"/>
          <w:color w:val="000000"/>
          <w:sz w:val="24"/>
          <w:szCs w:val="24"/>
          <w:lang w:val="en-US" w:eastAsia="zh-CN"/>
        </w:rPr>
        <w:t>5.41亿</w:t>
      </w:r>
      <w:r>
        <w:rPr>
          <w:rFonts w:hint="eastAsia" w:ascii="仿宋" w:hAnsi="仿宋" w:eastAsia="仿宋" w:cs="仿宋"/>
          <w:color w:val="000000"/>
          <w:sz w:val="24"/>
          <w:szCs w:val="24"/>
        </w:rPr>
        <w:t>元、</w:t>
      </w:r>
      <w:r>
        <w:rPr>
          <w:rFonts w:hint="eastAsia" w:ascii="仿宋" w:hAnsi="仿宋" w:eastAsia="仿宋" w:cs="仿宋"/>
          <w:color w:val="000000"/>
          <w:sz w:val="24"/>
          <w:szCs w:val="24"/>
          <w:lang w:val="en-US" w:eastAsia="zh-CN"/>
        </w:rPr>
        <w:t>5.69亿元</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rPr>
        <w:t>0</w:t>
      </w:r>
      <w:r>
        <w:rPr>
          <w:rFonts w:hint="eastAsia" w:ascii="仿宋" w:hAnsi="仿宋" w:eastAsia="仿宋" w:cs="仿宋"/>
          <w:color w:val="000000"/>
          <w:sz w:val="24"/>
          <w:szCs w:val="24"/>
          <w:lang w:eastAsia="zh-CN"/>
        </w:rPr>
        <w:t>亿元和</w:t>
      </w:r>
      <w:r>
        <w:rPr>
          <w:rFonts w:hint="eastAsia" w:ascii="仿宋" w:hAnsi="仿宋" w:eastAsia="仿宋" w:cs="仿宋"/>
          <w:color w:val="000000"/>
          <w:sz w:val="24"/>
          <w:szCs w:val="24"/>
          <w:lang w:val="en-US" w:eastAsia="zh-CN"/>
        </w:rPr>
        <w:t>0亿元</w:t>
      </w:r>
      <w:r>
        <w:rPr>
          <w:rFonts w:hint="eastAsia" w:ascii="仿宋" w:hAnsi="仿宋" w:eastAsia="仿宋" w:cs="仿宋"/>
          <w:color w:val="000000"/>
          <w:sz w:val="24"/>
          <w:szCs w:val="24"/>
        </w:rPr>
        <w:t>，占营业收入的比例分别为11.40%、8.63%</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lang w:val="en-US" w:eastAsia="zh-CN"/>
        </w:rPr>
        <w:t>0%</w:t>
      </w:r>
      <w:r>
        <w:rPr>
          <w:rFonts w:hint="eastAsia" w:ascii="仿宋" w:hAnsi="仿宋" w:eastAsia="仿宋" w:cs="仿宋"/>
          <w:color w:val="000000"/>
          <w:sz w:val="24"/>
          <w:szCs w:val="24"/>
        </w:rPr>
        <w:t>和0%。2022年度安置房销售收入较2021年度增加</w:t>
      </w:r>
      <w:r>
        <w:rPr>
          <w:rFonts w:hint="eastAsia" w:ascii="仿宋" w:hAnsi="仿宋" w:eastAsia="仿宋" w:cs="仿宋"/>
          <w:color w:val="000000"/>
          <w:sz w:val="24"/>
          <w:szCs w:val="24"/>
          <w:lang w:val="en-US" w:eastAsia="zh-CN"/>
        </w:rPr>
        <w:t>0.29亿</w:t>
      </w:r>
      <w:r>
        <w:rPr>
          <w:rFonts w:hint="eastAsia" w:ascii="仿宋" w:hAnsi="仿宋" w:eastAsia="仿宋" w:cs="仿宋"/>
          <w:color w:val="000000"/>
          <w:sz w:val="24"/>
          <w:szCs w:val="24"/>
        </w:rPr>
        <w:t>元，增幅为5.32%</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lang w:val="en-US" w:eastAsia="zh-CN"/>
        </w:rPr>
        <w:t>2023年以来无安置房销售业务</w:t>
      </w:r>
      <w:r>
        <w:rPr>
          <w:rFonts w:hint="eastAsia" w:ascii="仿宋" w:hAnsi="仿宋" w:eastAsia="仿宋" w:cs="仿宋"/>
          <w:color w:val="000000"/>
          <w:sz w:val="24"/>
          <w:szCs w:val="24"/>
        </w:rPr>
        <w:t>。</w:t>
      </w:r>
    </w:p>
    <w:p>
      <w:pPr>
        <w:pStyle w:val="2"/>
        <w:rPr>
          <w:rFonts w:hint="eastAsia" w:eastAsia="仿宋"/>
          <w:color w:val="FF0000"/>
          <w:lang w:eastAsia="zh-CN"/>
        </w:rPr>
      </w:pPr>
      <w:r>
        <w:rPr>
          <w:rFonts w:hint="eastAsia" w:ascii="仿宋" w:hAnsi="仿宋" w:eastAsia="仿宋" w:cs="仿宋"/>
          <w:color w:val="FF0000"/>
          <w:sz w:val="24"/>
          <w:szCs w:val="24"/>
          <w:lang w:eastAsia="zh-CN"/>
        </w:rPr>
        <w:t>语句颠倒：</w:t>
      </w:r>
    </w:p>
    <w:p>
      <w:pPr>
        <w:adjustRightInd w:val="0"/>
        <w:snapToGrid w:val="0"/>
        <w:spacing w:beforeLines="0" w:afterLines="0" w:line="360" w:lineRule="auto"/>
        <w:ind w:firstLine="480"/>
        <w:rPr>
          <w:rFonts w:hint="eastAsia" w:ascii="仿宋" w:hAnsi="仿宋" w:eastAsia="仿宋" w:cs="仿宋"/>
          <w:color w:val="000000"/>
          <w:kern w:val="0"/>
          <w:sz w:val="24"/>
          <w:szCs w:val="24"/>
          <w:lang w:eastAsia="zh-CN"/>
        </w:rPr>
      </w:pPr>
      <w:r>
        <w:rPr>
          <w:rFonts w:hint="eastAsia" w:ascii="仿宋" w:hAnsi="仿宋" w:eastAsia="仿宋" w:cs="仿宋"/>
          <w:color w:val="000000"/>
          <w:kern w:val="0"/>
          <w:sz w:val="24"/>
          <w:szCs w:val="24"/>
        </w:rPr>
        <w:t>2022年度商品房销售收入较2021年度增加</w:t>
      </w:r>
      <w:r>
        <w:rPr>
          <w:rFonts w:hint="eastAsia" w:ascii="仿宋" w:hAnsi="仿宋" w:eastAsia="仿宋" w:cs="仿宋"/>
          <w:color w:val="000000"/>
          <w:kern w:val="0"/>
          <w:sz w:val="24"/>
          <w:szCs w:val="24"/>
          <w:lang w:val="en-US" w:eastAsia="zh-CN"/>
        </w:rPr>
        <w:t>3.69亿</w:t>
      </w:r>
      <w:r>
        <w:rPr>
          <w:rFonts w:hint="eastAsia" w:ascii="仿宋" w:hAnsi="仿宋" w:eastAsia="仿宋" w:cs="仿宋"/>
          <w:color w:val="000000"/>
          <w:kern w:val="0"/>
          <w:sz w:val="24"/>
          <w:szCs w:val="24"/>
        </w:rPr>
        <w:t>元，增幅为57.28%，主要受商品房项目交付时间影响，2022年确认收入的项目较多。近三年及一期，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商品房销售收入分别为</w:t>
      </w:r>
      <w:r>
        <w:rPr>
          <w:rFonts w:hint="eastAsia" w:ascii="仿宋" w:hAnsi="仿宋" w:eastAsia="仿宋" w:cs="仿宋"/>
          <w:color w:val="000000"/>
          <w:kern w:val="0"/>
          <w:sz w:val="24"/>
          <w:szCs w:val="24"/>
          <w:lang w:val="en-US" w:eastAsia="zh-CN"/>
        </w:rPr>
        <w:t>6.44亿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10.13亿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9.89亿元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0.27亿</w:t>
      </w:r>
      <w:r>
        <w:rPr>
          <w:rFonts w:hint="eastAsia" w:ascii="仿宋" w:hAnsi="仿宋" w:eastAsia="仿宋" w:cs="仿宋"/>
          <w:color w:val="000000"/>
          <w:kern w:val="0"/>
          <w:sz w:val="24"/>
          <w:szCs w:val="24"/>
        </w:rPr>
        <w:t>元，占营业收入的比例分别为13.57%、15.34%</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16.23%</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3.36</w:t>
      </w:r>
      <w:r>
        <w:rPr>
          <w:rFonts w:hint="eastAsia" w:ascii="仿宋" w:hAnsi="仿宋" w:eastAsia="仿宋" w:cs="仿宋"/>
          <w:color w:val="000000"/>
          <w:kern w:val="0"/>
          <w:sz w:val="24"/>
          <w:szCs w:val="24"/>
        </w:rPr>
        <w:t>%。2023年度商品房销售收入较2022年度减少2,309.58万元，减幅为2.28%</w:t>
      </w:r>
      <w:r>
        <w:rPr>
          <w:rFonts w:hint="eastAsia" w:ascii="仿宋" w:hAnsi="仿宋" w:eastAsia="仿宋" w:cs="仿宋"/>
          <w:color w:val="000000"/>
          <w:kern w:val="0"/>
          <w:sz w:val="24"/>
          <w:szCs w:val="24"/>
          <w:lang w:eastAsia="zh-CN"/>
        </w:rPr>
        <w:t>，变化较小。</w:t>
      </w:r>
    </w:p>
    <w:p>
      <w:pPr>
        <w:pStyle w:val="2"/>
        <w:rPr>
          <w:rFonts w:hint="eastAsia"/>
          <w:color w:val="FF0000"/>
        </w:rPr>
      </w:pPr>
      <w:r>
        <w:rPr>
          <w:rFonts w:hint="eastAsia" w:ascii="仿宋" w:hAnsi="仿宋" w:eastAsia="仿宋" w:cs="仿宋"/>
          <w:color w:val="FF0000"/>
          <w:kern w:val="0"/>
          <w:sz w:val="24"/>
          <w:szCs w:val="24"/>
          <w:lang w:eastAsia="zh-CN"/>
        </w:rPr>
        <w:t>删除段落：</w:t>
      </w:r>
    </w:p>
    <w:p>
      <w:pPr>
        <w:adjustRightInd w:val="0"/>
        <w:snapToGrid w:val="0"/>
        <w:spacing w:beforeLines="0" w:afterLines="0" w:line="360" w:lineRule="auto"/>
        <w:ind w:firstLine="480"/>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rPr>
        <w:t>近</w:t>
      </w:r>
    </w:p>
    <w:p>
      <w:pPr>
        <w:pStyle w:val="2"/>
        <w:rPr>
          <w:rFonts w:hint="eastAsia"/>
          <w:color w:val="FF0000"/>
        </w:rPr>
      </w:pPr>
      <w:r>
        <w:rPr>
          <w:rFonts w:hint="eastAsia" w:ascii="仿宋" w:hAnsi="仿宋" w:eastAsia="仿宋" w:cs="仿宋"/>
          <w:color w:val="FF0000"/>
          <w:kern w:val="0"/>
          <w:sz w:val="24"/>
          <w:szCs w:val="24"/>
          <w:lang w:val="en-US" w:eastAsia="zh-CN"/>
        </w:rPr>
        <w:t>多栏测试（三段）：</w:t>
      </w:r>
    </w:p>
    <w:p>
      <w:pPr>
        <w:adjustRightInd w:val="0"/>
        <w:snapToGrid w:val="0"/>
        <w:spacing w:beforeLines="0" w:afterLines="0" w:line="360" w:lineRule="auto"/>
        <w:ind w:firstLine="480"/>
        <w:rPr>
          <w:rFonts w:hint="eastAsia" w:ascii="仿宋" w:hAnsi="仿宋" w:eastAsia="仿宋" w:cs="仿宋"/>
          <w:color w:val="000000"/>
          <w:kern w:val="0"/>
          <w:sz w:val="24"/>
          <w:szCs w:val="24"/>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PPP板块收入分别为</w:t>
      </w:r>
      <w:r>
        <w:rPr>
          <w:rFonts w:hint="eastAsia" w:ascii="仿宋" w:hAnsi="仿宋" w:eastAsia="仿宋" w:cs="仿宋"/>
          <w:color w:val="000000"/>
          <w:kern w:val="0"/>
          <w:sz w:val="24"/>
          <w:szCs w:val="24"/>
          <w:lang w:val="en-US" w:eastAsia="zh-CN"/>
        </w:rPr>
        <w:t>2.65亿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2.55亿元、5.80亿元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0.68亿</w:t>
      </w:r>
      <w:r>
        <w:rPr>
          <w:rFonts w:hint="eastAsia" w:ascii="仿宋" w:hAnsi="仿宋" w:eastAsia="仿宋" w:cs="仿宋"/>
          <w:color w:val="000000"/>
          <w:kern w:val="0"/>
          <w:sz w:val="24"/>
          <w:szCs w:val="24"/>
        </w:rPr>
        <w:t>元，占</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营业收入的5.59%、3.86%</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9.52%</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8.36</w:t>
      </w:r>
      <w:r>
        <w:rPr>
          <w:rFonts w:hint="eastAsia" w:ascii="仿宋" w:hAnsi="仿宋" w:eastAsia="仿宋" w:cs="仿宋"/>
          <w:color w:val="000000"/>
          <w:kern w:val="0"/>
          <w:sz w:val="24"/>
          <w:szCs w:val="24"/>
        </w:rPr>
        <w:t>%。2022年度PPP板块收入较2021年度减少</w:t>
      </w:r>
      <w:r>
        <w:rPr>
          <w:rFonts w:hint="eastAsia" w:ascii="仿宋" w:hAnsi="仿宋" w:eastAsia="仿宋" w:cs="仿宋"/>
          <w:color w:val="000000"/>
          <w:kern w:val="0"/>
          <w:sz w:val="24"/>
          <w:szCs w:val="24"/>
          <w:lang w:val="en-US" w:eastAsia="zh-CN"/>
        </w:rPr>
        <w:t>0.10亿</w:t>
      </w:r>
      <w:r>
        <w:rPr>
          <w:rFonts w:hint="eastAsia" w:ascii="仿宋" w:hAnsi="仿宋" w:eastAsia="仿宋" w:cs="仿宋"/>
          <w:color w:val="000000"/>
          <w:kern w:val="0"/>
          <w:sz w:val="24"/>
          <w:szCs w:val="24"/>
        </w:rPr>
        <w:t>元，减幅为3.92%，板块收入较为稳定。2023年度PPP板块收入较2022年度增加</w:t>
      </w:r>
      <w:r>
        <w:rPr>
          <w:rFonts w:hint="eastAsia" w:ascii="仿宋" w:hAnsi="仿宋" w:eastAsia="仿宋" w:cs="仿宋"/>
          <w:color w:val="000000"/>
          <w:kern w:val="0"/>
          <w:sz w:val="24"/>
          <w:szCs w:val="24"/>
          <w:lang w:val="en-US" w:eastAsia="zh-CN"/>
        </w:rPr>
        <w:t>3.26亿</w:t>
      </w:r>
      <w:r>
        <w:rPr>
          <w:rFonts w:hint="eastAsia" w:ascii="仿宋" w:hAnsi="仿宋" w:eastAsia="仿宋" w:cs="仿宋"/>
          <w:color w:val="000000"/>
          <w:kern w:val="0"/>
          <w:sz w:val="24"/>
          <w:szCs w:val="24"/>
        </w:rPr>
        <w:t>元，增幅为127.99%。</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w:t>
      </w:r>
      <w:r>
        <w:rPr>
          <w:rFonts w:hint="eastAsia" w:ascii="仿宋" w:hAnsi="仿宋" w:eastAsia="仿宋" w:cs="仿宋"/>
          <w:color w:val="000000"/>
          <w:kern w:val="0"/>
          <w:sz w:val="24"/>
          <w:szCs w:val="24"/>
          <w:lang w:eastAsia="zh-CN"/>
        </w:rPr>
        <w:t>二</w:t>
      </w:r>
      <w:r>
        <w:rPr>
          <w:rFonts w:hint="eastAsia" w:ascii="仿宋" w:hAnsi="仿宋" w:eastAsia="仿宋" w:cs="仿宋"/>
          <w:color w:val="000000"/>
          <w:kern w:val="0"/>
          <w:sz w:val="24"/>
          <w:szCs w:val="24"/>
        </w:rPr>
        <w:t>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工程施工收入分别为</w:t>
      </w:r>
      <w:r>
        <w:rPr>
          <w:rFonts w:hint="eastAsia" w:ascii="仿宋" w:hAnsi="仿宋" w:eastAsia="仿宋" w:cs="仿宋"/>
          <w:color w:val="000000"/>
          <w:kern w:val="0"/>
          <w:sz w:val="24"/>
          <w:szCs w:val="24"/>
          <w:lang w:val="en-US" w:eastAsia="zh-CN"/>
        </w:rPr>
        <w:t>7.90亿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14.11亿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13.45亿元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3.61亿</w:t>
      </w:r>
      <w:r>
        <w:rPr>
          <w:rFonts w:hint="eastAsia" w:ascii="仿宋" w:hAnsi="仿宋" w:eastAsia="仿宋" w:cs="仿宋"/>
          <w:color w:val="000000"/>
          <w:kern w:val="0"/>
          <w:sz w:val="24"/>
          <w:szCs w:val="24"/>
        </w:rPr>
        <w:t>元，分别占</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营业收入的16.65%、21.37%</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22.05%</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44.59</w:t>
      </w:r>
      <w:r>
        <w:rPr>
          <w:rFonts w:hint="eastAsia" w:ascii="仿宋" w:hAnsi="仿宋" w:eastAsia="仿宋" w:cs="仿宋"/>
          <w:color w:val="000000"/>
          <w:kern w:val="0"/>
          <w:sz w:val="24"/>
          <w:szCs w:val="24"/>
        </w:rPr>
        <w:t>%。2022年度工程施工收入较2021年度增加</w:t>
      </w:r>
      <w:r>
        <w:rPr>
          <w:rFonts w:hint="eastAsia" w:ascii="仿宋" w:hAnsi="仿宋" w:eastAsia="仿宋" w:cs="仿宋"/>
          <w:color w:val="000000"/>
          <w:kern w:val="0"/>
          <w:sz w:val="24"/>
          <w:szCs w:val="24"/>
          <w:lang w:val="en-US" w:eastAsia="zh-CN"/>
        </w:rPr>
        <w:t>6.21亿</w:t>
      </w:r>
      <w:r>
        <w:rPr>
          <w:rFonts w:hint="eastAsia" w:ascii="仿宋" w:hAnsi="仿宋" w:eastAsia="仿宋" w:cs="仿宋"/>
          <w:color w:val="000000"/>
          <w:kern w:val="0"/>
          <w:sz w:val="24"/>
          <w:szCs w:val="24"/>
        </w:rPr>
        <w:t>元，增幅为78.62%，收入增速较快主要系当期项目集中确认收入金额较大所致。2023年度工程施工收入较2022年度减少6,605.43万元，减幅为4.68%</w:t>
      </w:r>
      <w:r>
        <w:rPr>
          <w:rFonts w:hint="eastAsia" w:ascii="仿宋" w:hAnsi="仿宋" w:eastAsia="仿宋" w:cs="仿宋"/>
          <w:color w:val="000000"/>
          <w:kern w:val="0"/>
          <w:sz w:val="24"/>
          <w:szCs w:val="24"/>
          <w:lang w:eastAsia="zh-CN"/>
        </w:rPr>
        <w:t>，变化较小。</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物资销售收入分别为</w:t>
      </w:r>
      <w:r>
        <w:rPr>
          <w:rFonts w:hint="eastAsia" w:ascii="仿宋" w:hAnsi="仿宋" w:eastAsia="仿宋" w:cs="仿宋"/>
          <w:color w:val="000000"/>
          <w:kern w:val="0"/>
          <w:sz w:val="24"/>
          <w:szCs w:val="24"/>
          <w:lang w:val="en-US" w:eastAsia="zh-CN"/>
        </w:rPr>
        <w:t>3.28亿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11.92亿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10.69亿元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0.27亿</w:t>
      </w:r>
      <w:r>
        <w:rPr>
          <w:rFonts w:hint="eastAsia" w:ascii="仿宋" w:hAnsi="仿宋" w:eastAsia="仿宋" w:cs="仿宋"/>
          <w:color w:val="000000"/>
          <w:kern w:val="0"/>
          <w:sz w:val="24"/>
          <w:szCs w:val="24"/>
        </w:rPr>
        <w:t>元，占营业收入的比例分别为6.92%、18.06%</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17.53%</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3.35</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val="en-US" w:eastAsia="zh-CN"/>
        </w:rPr>
        <w:t>2022年以来</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物资销售业务收入增幅较快，主要系</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依托日照市港口优势，积极拓宽贸易渠道，大力发展贸易业务所致。</w:t>
      </w:r>
    </w:p>
    <w:p>
      <w:pPr>
        <w:adjustRightInd w:val="0"/>
        <w:snapToGrid w:val="0"/>
        <w:spacing w:beforeLines="0" w:afterLines="0" w:line="360" w:lineRule="auto"/>
        <w:ind w:firstLine="480"/>
        <w:rPr>
          <w:rFonts w:hint="eastAsia" w:ascii="仿宋" w:hAnsi="仿宋" w:eastAsia="仿宋" w:cs="仿宋"/>
          <w:color w:val="000000"/>
          <w:kern w:val="0"/>
          <w:sz w:val="24"/>
          <w:szCs w:val="24"/>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adjustRightInd w:val="0"/>
        <w:snapToGrid w:val="0"/>
        <w:spacing w:beforeLines="0" w:afterLines="0" w:line="360" w:lineRule="auto"/>
        <w:ind w:firstLine="480"/>
        <w:rPr>
          <w:rFonts w:hint="eastAsia" w:ascii="仿宋" w:hAnsi="仿宋" w:eastAsia="仿宋" w:cs="仿宋"/>
          <w:color w:val="000000"/>
          <w:kern w:val="0"/>
          <w:sz w:val="24"/>
          <w:szCs w:val="24"/>
          <w:lang w:eastAsia="zh-CN"/>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污水处理收入分别为</w:t>
      </w:r>
      <w:r>
        <w:rPr>
          <w:rFonts w:hint="eastAsia" w:ascii="仿宋" w:hAnsi="仿宋" w:eastAsia="仿宋" w:cs="仿宋"/>
          <w:color w:val="000000"/>
          <w:kern w:val="0"/>
          <w:sz w:val="24"/>
          <w:szCs w:val="24"/>
          <w:lang w:val="en-US" w:eastAsia="zh-CN"/>
        </w:rPr>
        <w:t>1.80亿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1.96亿元、1.87亿元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0.36亿</w:t>
      </w:r>
      <w:r>
        <w:rPr>
          <w:rFonts w:hint="eastAsia" w:ascii="仿宋" w:hAnsi="仿宋" w:eastAsia="仿宋" w:cs="仿宋"/>
          <w:color w:val="000000"/>
          <w:kern w:val="0"/>
          <w:sz w:val="24"/>
          <w:szCs w:val="24"/>
        </w:rPr>
        <w:t>元，占营业收入的比例分别为3.80%、2.98%</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3.06%</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4.50</w:t>
      </w:r>
      <w:r>
        <w:rPr>
          <w:rFonts w:hint="eastAsia" w:ascii="仿宋" w:hAnsi="仿宋" w:eastAsia="仿宋" w:cs="仿宋"/>
          <w:color w:val="000000"/>
          <w:kern w:val="0"/>
          <w:sz w:val="24"/>
          <w:szCs w:val="24"/>
        </w:rPr>
        <w:t>%。2022年度污水处理收入较2021年度增加</w:t>
      </w:r>
      <w:r>
        <w:rPr>
          <w:rFonts w:hint="eastAsia" w:ascii="仿宋" w:hAnsi="仿宋" w:eastAsia="仿宋" w:cs="仿宋"/>
          <w:color w:val="000000"/>
          <w:kern w:val="0"/>
          <w:sz w:val="24"/>
          <w:szCs w:val="24"/>
          <w:lang w:val="en-US" w:eastAsia="zh-CN"/>
        </w:rPr>
        <w:t>0.16亿</w:t>
      </w:r>
      <w:r>
        <w:rPr>
          <w:rFonts w:hint="eastAsia" w:ascii="仿宋" w:hAnsi="仿宋" w:eastAsia="仿宋" w:cs="仿宋"/>
          <w:color w:val="000000"/>
          <w:kern w:val="0"/>
          <w:sz w:val="24"/>
          <w:szCs w:val="24"/>
        </w:rPr>
        <w:t>元，增幅为9.04%</w:t>
      </w:r>
      <w:r>
        <w:rPr>
          <w:rFonts w:hint="eastAsia" w:ascii="仿宋" w:hAnsi="仿宋" w:eastAsia="仿宋" w:cs="仿宋"/>
          <w:color w:val="000000"/>
          <w:kern w:val="0"/>
          <w:sz w:val="24"/>
          <w:szCs w:val="24"/>
          <w:lang w:eastAsia="zh-CN"/>
        </w:rPr>
        <w:t>，2023年度污水处理收入较2022年度减少977.93万元，减幅为4.98%，变化较小。</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售水收入分别为</w:t>
      </w:r>
      <w:r>
        <w:rPr>
          <w:rFonts w:hint="eastAsia" w:ascii="仿宋" w:hAnsi="仿宋" w:eastAsia="仿宋" w:cs="仿宋"/>
          <w:color w:val="000000"/>
          <w:kern w:val="0"/>
          <w:sz w:val="24"/>
          <w:szCs w:val="24"/>
          <w:lang w:val="en-US" w:eastAsia="zh-CN"/>
        </w:rPr>
        <w:t>2.31亿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2.25亿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2.73亿元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0.61亿</w:t>
      </w:r>
      <w:r>
        <w:rPr>
          <w:rFonts w:hint="eastAsia" w:ascii="仿宋" w:hAnsi="仿宋" w:eastAsia="仿宋" w:cs="仿宋"/>
          <w:color w:val="000000"/>
          <w:kern w:val="0"/>
          <w:sz w:val="24"/>
          <w:szCs w:val="24"/>
        </w:rPr>
        <w:t>元，占营业收入的比例分别为4.86%、3.40%</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4.48%</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7.55</w:t>
      </w:r>
      <w:r>
        <w:rPr>
          <w:rFonts w:hint="eastAsia" w:ascii="仿宋" w:hAnsi="仿宋" w:eastAsia="仿宋" w:cs="仿宋"/>
          <w:color w:val="000000"/>
          <w:kern w:val="0"/>
          <w:sz w:val="24"/>
          <w:szCs w:val="24"/>
        </w:rPr>
        <w:t>%。2022年度售水收入较2021年度减少611.44万元，减幅为2.65%</w:t>
      </w:r>
      <w:r>
        <w:rPr>
          <w:rFonts w:hint="eastAsia" w:ascii="仿宋" w:hAnsi="仿宋" w:eastAsia="仿宋" w:cs="仿宋"/>
          <w:color w:val="000000"/>
          <w:kern w:val="0"/>
          <w:sz w:val="24"/>
          <w:szCs w:val="24"/>
          <w:lang w:eastAsia="zh-CN"/>
        </w:rPr>
        <w:t>。2023年度售水收入较2022年度增加</w:t>
      </w:r>
      <w:r>
        <w:rPr>
          <w:rFonts w:hint="eastAsia" w:ascii="仿宋" w:hAnsi="仿宋" w:eastAsia="仿宋" w:cs="仿宋"/>
          <w:color w:val="000000"/>
          <w:kern w:val="0"/>
          <w:sz w:val="24"/>
          <w:szCs w:val="24"/>
          <w:lang w:val="en-US" w:eastAsia="zh-CN"/>
        </w:rPr>
        <w:t>0.48亿</w:t>
      </w:r>
      <w:r>
        <w:rPr>
          <w:rFonts w:hint="eastAsia" w:ascii="仿宋" w:hAnsi="仿宋" w:eastAsia="仿宋" w:cs="仿宋"/>
          <w:color w:val="000000"/>
          <w:kern w:val="0"/>
          <w:sz w:val="24"/>
          <w:szCs w:val="24"/>
          <w:lang w:eastAsia="zh-CN"/>
        </w:rPr>
        <w:t>元，增幅为21.51%。</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申请人园林</w:t>
      </w:r>
      <w:r>
        <w:rPr>
          <w:rFonts w:hint="eastAsia" w:ascii="仿宋" w:hAnsi="仿宋" w:eastAsia="仿宋" w:cs="仿宋"/>
          <w:color w:val="000000"/>
          <w:kern w:val="0"/>
          <w:sz w:val="24"/>
          <w:szCs w:val="24"/>
        </w:rPr>
        <w:t>养护服务收入分别为</w:t>
      </w:r>
      <w:r>
        <w:rPr>
          <w:rFonts w:hint="eastAsia" w:ascii="仿宋" w:hAnsi="仿宋" w:eastAsia="仿宋" w:cs="仿宋"/>
          <w:color w:val="000000"/>
          <w:kern w:val="0"/>
          <w:sz w:val="24"/>
          <w:szCs w:val="24"/>
          <w:lang w:val="en-US" w:eastAsia="zh-CN"/>
        </w:rPr>
        <w:t>2.51亿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1.98亿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2.93亿元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0.92亿</w:t>
      </w:r>
      <w:r>
        <w:rPr>
          <w:rFonts w:hint="eastAsia" w:ascii="仿宋" w:hAnsi="仿宋" w:eastAsia="仿宋" w:cs="仿宋"/>
          <w:color w:val="000000"/>
          <w:kern w:val="0"/>
          <w:sz w:val="24"/>
          <w:szCs w:val="24"/>
        </w:rPr>
        <w:t>元，占营业收入的</w:t>
      </w:r>
      <w:r>
        <w:rPr>
          <w:rFonts w:hint="eastAsia" w:ascii="仿宋" w:hAnsi="仿宋" w:eastAsia="仿宋" w:cs="仿宋"/>
          <w:color w:val="000000"/>
          <w:kern w:val="0"/>
          <w:sz w:val="24"/>
          <w:szCs w:val="24"/>
          <w:lang w:eastAsia="zh-CN"/>
        </w:rPr>
        <w:t>园林养护</w:t>
      </w:r>
      <w:r>
        <w:rPr>
          <w:rFonts w:hint="eastAsia" w:ascii="仿宋" w:hAnsi="仿宋" w:eastAsia="仿宋" w:cs="仿宋"/>
          <w:color w:val="000000"/>
          <w:kern w:val="0"/>
          <w:sz w:val="24"/>
          <w:szCs w:val="24"/>
        </w:rPr>
        <w:t>比例分别为5.29%、3.00%</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4.80%</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11.34</w:t>
      </w:r>
      <w:r>
        <w:rPr>
          <w:rFonts w:hint="eastAsia" w:ascii="仿宋" w:hAnsi="仿宋" w:eastAsia="仿宋" w:cs="仿宋"/>
          <w:color w:val="000000"/>
          <w:kern w:val="0"/>
          <w:sz w:val="24"/>
          <w:szCs w:val="24"/>
        </w:rPr>
        <w:t>%，报告期内有所波动。</w:t>
      </w:r>
      <w:r>
        <w:rPr>
          <w:rFonts w:hint="eastAsia" w:ascii="仿宋" w:hAnsi="仿宋" w:eastAsia="仿宋" w:cs="仿宋"/>
          <w:color w:val="000000"/>
          <w:kern w:val="0"/>
          <w:sz w:val="24"/>
          <w:szCs w:val="24"/>
          <w:lang w:val="en-US" w:eastAsia="zh-CN"/>
        </w:rPr>
        <w:t>2023年度园林养护服务较2022年度增加0.95亿元，增幅47.98%。</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劳务服务收入分别为</w:t>
      </w:r>
      <w:r>
        <w:rPr>
          <w:rFonts w:hint="eastAsia" w:ascii="仿宋" w:hAnsi="仿宋" w:eastAsia="仿宋" w:cs="仿宋"/>
          <w:color w:val="000000"/>
          <w:kern w:val="0"/>
          <w:sz w:val="24"/>
          <w:szCs w:val="24"/>
          <w:lang w:val="en-US" w:eastAsia="zh-CN"/>
        </w:rPr>
        <w:t>3.00亿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1.63亿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0亿元</w:t>
      </w:r>
      <w:r>
        <w:rPr>
          <w:rFonts w:hint="eastAsia" w:ascii="仿宋" w:hAnsi="仿宋" w:eastAsia="仿宋" w:cs="仿宋"/>
          <w:color w:val="000000"/>
          <w:kern w:val="0"/>
          <w:sz w:val="24"/>
          <w:szCs w:val="24"/>
        </w:rPr>
        <w:t>和0</w:t>
      </w:r>
      <w:r>
        <w:rPr>
          <w:rFonts w:hint="eastAsia" w:ascii="仿宋" w:hAnsi="仿宋" w:eastAsia="仿宋" w:cs="仿宋"/>
          <w:color w:val="000000"/>
          <w:kern w:val="0"/>
          <w:sz w:val="24"/>
          <w:szCs w:val="24"/>
          <w:lang w:eastAsia="zh-CN"/>
        </w:rPr>
        <w:t>亿</w:t>
      </w:r>
      <w:r>
        <w:rPr>
          <w:rFonts w:hint="eastAsia" w:ascii="仿宋" w:hAnsi="仿宋" w:eastAsia="仿宋" w:cs="仿宋"/>
          <w:color w:val="000000"/>
          <w:kern w:val="0"/>
          <w:sz w:val="24"/>
          <w:szCs w:val="24"/>
        </w:rPr>
        <w:t>元，占营业收入的比例分别为</w:t>
      </w:r>
      <w:r>
        <w:rPr>
          <w:rFonts w:hint="eastAsia" w:ascii="仿宋" w:hAnsi="仿宋" w:eastAsia="仿宋" w:cs="仿宋"/>
          <w:color w:val="000000"/>
          <w:kern w:val="0"/>
          <w:sz w:val="24"/>
          <w:szCs w:val="24"/>
          <w:lang w:val="en-US" w:eastAsia="zh-CN" w:bidi="ar-SA"/>
        </w:rPr>
        <w:t>6.33%、2.47%、0%和0%</w:t>
      </w:r>
      <w:r>
        <w:rPr>
          <w:rFonts w:hint="eastAsia" w:ascii="仿宋" w:hAnsi="仿宋" w:eastAsia="仿宋" w:cs="仿宋"/>
          <w:color w:val="000000"/>
          <w:kern w:val="0"/>
          <w:sz w:val="24"/>
          <w:szCs w:val="24"/>
        </w:rPr>
        <w:t>。报告期内该业务由子公司日照人才发展集团有限公司承担，2022年6月起，日照人才发展集团有限公司因部分股权转让不再纳入</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合并范围。</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毛利润分别为</w:t>
      </w:r>
      <w:r>
        <w:rPr>
          <w:rFonts w:hint="eastAsia" w:ascii="仿宋" w:hAnsi="仿宋" w:eastAsia="仿宋" w:cs="仿宋"/>
          <w:color w:val="000000"/>
          <w:kern w:val="0"/>
          <w:sz w:val="24"/>
          <w:szCs w:val="24"/>
          <w:lang w:val="en-US" w:eastAsia="zh-CN"/>
        </w:rPr>
        <w:t>13.79亿元、15.44亿元、12.89亿元和1.71亿元</w:t>
      </w:r>
      <w:r>
        <w:rPr>
          <w:rFonts w:hint="eastAsia" w:ascii="仿宋" w:hAnsi="仿宋" w:eastAsia="仿宋" w:cs="仿宋"/>
          <w:color w:val="000000"/>
          <w:kern w:val="0"/>
          <w:sz w:val="24"/>
          <w:szCs w:val="24"/>
        </w:rPr>
        <w:t>，报告期内</w:t>
      </w:r>
      <w:r>
        <w:rPr>
          <w:rFonts w:hint="eastAsia" w:ascii="仿宋" w:hAnsi="仿宋" w:eastAsia="仿宋" w:cs="仿宋"/>
          <w:color w:val="000000"/>
          <w:kern w:val="0"/>
          <w:sz w:val="24"/>
          <w:szCs w:val="24"/>
          <w:lang w:eastAsia="zh-CN"/>
        </w:rPr>
        <w:t>持续波动</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营业毛利润中占比较高的业务板块包括商品房销售、工程施工及安置房销售，</w:t>
      </w:r>
      <w:bookmarkStart w:id="2" w:name="_Hlk120022335"/>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w:t>
      </w:r>
      <w:r>
        <w:rPr>
          <w:rFonts w:hint="eastAsia" w:ascii="仿宋" w:hAnsi="仿宋" w:eastAsia="仿宋" w:cs="仿宋"/>
          <w:color w:val="000000"/>
          <w:kern w:val="0"/>
          <w:sz w:val="24"/>
          <w:szCs w:val="24"/>
        </w:rPr>
        <w:t>人商品房销售毛利润分别为</w:t>
      </w:r>
      <w:r>
        <w:rPr>
          <w:rFonts w:hint="eastAsia" w:ascii="仿宋" w:hAnsi="仿宋" w:eastAsia="仿宋" w:cs="仿宋"/>
          <w:color w:val="000000"/>
          <w:kern w:val="0"/>
          <w:sz w:val="24"/>
          <w:szCs w:val="24"/>
          <w:lang w:val="en-US" w:eastAsia="zh-CN"/>
        </w:rPr>
        <w:t>1.83亿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3.60亿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3.04亿</w:t>
      </w:r>
      <w:r>
        <w:rPr>
          <w:rFonts w:hint="eastAsia" w:ascii="仿宋" w:hAnsi="仿宋" w:eastAsia="仿宋" w:cs="仿宋"/>
          <w:color w:val="000000"/>
          <w:kern w:val="0"/>
          <w:sz w:val="24"/>
          <w:szCs w:val="24"/>
        </w:rPr>
        <w:t>元及</w:t>
      </w:r>
      <w:r>
        <w:rPr>
          <w:rFonts w:hint="eastAsia" w:ascii="仿宋" w:hAnsi="仿宋" w:eastAsia="仿宋" w:cs="仿宋"/>
          <w:color w:val="000000"/>
          <w:kern w:val="0"/>
          <w:sz w:val="24"/>
          <w:szCs w:val="24"/>
          <w:lang w:val="en-US" w:eastAsia="zh-CN"/>
        </w:rPr>
        <w:t>0.09亿</w:t>
      </w:r>
      <w:r>
        <w:rPr>
          <w:rFonts w:hint="eastAsia" w:ascii="仿宋" w:hAnsi="仿宋" w:eastAsia="仿宋" w:cs="仿宋"/>
          <w:color w:val="000000"/>
          <w:kern w:val="0"/>
          <w:sz w:val="24"/>
          <w:szCs w:val="24"/>
        </w:rPr>
        <w:t>元，占营业毛利润的比例分别为13.30%、23.35%、23.59%和5.13%；工程施工业务毛利润分别为</w:t>
      </w:r>
      <w:r>
        <w:rPr>
          <w:rFonts w:hint="eastAsia" w:ascii="仿宋" w:hAnsi="仿宋" w:eastAsia="仿宋" w:cs="仿宋"/>
          <w:color w:val="000000"/>
          <w:kern w:val="0"/>
          <w:sz w:val="24"/>
          <w:szCs w:val="24"/>
          <w:lang w:val="en-US" w:eastAsia="zh-CN"/>
        </w:rPr>
        <w:t>2.06亿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2.17亿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3.68亿</w:t>
      </w:r>
      <w:r>
        <w:rPr>
          <w:rFonts w:hint="eastAsia" w:ascii="仿宋" w:hAnsi="仿宋" w:eastAsia="仿宋" w:cs="仿宋"/>
          <w:color w:val="000000"/>
          <w:kern w:val="0"/>
          <w:sz w:val="24"/>
          <w:szCs w:val="24"/>
        </w:rPr>
        <w:t>元及</w:t>
      </w:r>
      <w:r>
        <w:rPr>
          <w:rFonts w:hint="eastAsia" w:ascii="仿宋" w:hAnsi="仿宋" w:eastAsia="仿宋" w:cs="仿宋"/>
          <w:color w:val="000000"/>
          <w:kern w:val="0"/>
          <w:sz w:val="24"/>
          <w:szCs w:val="24"/>
          <w:lang w:val="en-US" w:eastAsia="zh-CN"/>
        </w:rPr>
        <w:t>0.63亿</w:t>
      </w:r>
      <w:r>
        <w:rPr>
          <w:rFonts w:hint="eastAsia" w:ascii="仿宋" w:hAnsi="仿宋" w:eastAsia="仿宋" w:cs="仿宋"/>
          <w:color w:val="000000"/>
          <w:kern w:val="0"/>
          <w:sz w:val="24"/>
          <w:szCs w:val="24"/>
        </w:rPr>
        <w:t>元，占营业毛利润的比例分别为14.96%、14.07%、28.51%及36.79%；安置房销售毛利润分别为</w:t>
      </w:r>
      <w:r>
        <w:rPr>
          <w:rFonts w:hint="eastAsia" w:ascii="仿宋" w:hAnsi="仿宋" w:eastAsia="仿宋" w:cs="仿宋"/>
          <w:color w:val="000000"/>
          <w:kern w:val="0"/>
          <w:sz w:val="24"/>
          <w:szCs w:val="24"/>
          <w:lang w:val="en-US" w:eastAsia="zh-CN"/>
        </w:rPr>
        <w:t>4.05亿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1.73亿</w:t>
      </w:r>
      <w:r>
        <w:rPr>
          <w:rFonts w:hint="eastAsia" w:ascii="仿宋" w:hAnsi="仿宋" w:eastAsia="仿宋" w:cs="仿宋"/>
          <w:color w:val="000000"/>
          <w:kern w:val="0"/>
          <w:sz w:val="24"/>
          <w:szCs w:val="24"/>
        </w:rPr>
        <w:t>元、0万元及0万元，占营业毛利润的比例分别为29.37%、11.21%、0%及0%。</w:t>
      </w:r>
    </w:p>
    <w:bookmarkEnd w:id="2"/>
    <w:p>
      <w:pPr>
        <w:adjustRightInd w:val="0"/>
        <w:snapToGrid w:val="0"/>
        <w:spacing w:beforeLines="0" w:afterLines="0" w:line="360" w:lineRule="auto"/>
        <w:ind w:firstLine="480"/>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近三年及一期，申请人综合营业毛利率分别为29.06%、23.39%、21.14%和21.08%，报告期毛利率有所下降。近三年及一期，申请人安置房销售毛利率分别为74.89%、30.39%、0%及0%，毛利率波动较大，主要是2021年确认中心商务区剩余房产销售收入，当期毛利较高，而2022年确认尚城花园片区和西明望村销售收入，新增税费和利息成本，压低毛利率；商品房销售毛利率分别为28.47%、35.60%、30.73%和32.18%，报告期内有所波动，系受房价变动影响；代建及项目管理业务毛利率分别为35.15%、59.00%、1.57%及0%，2021-2022年提升幅度较大，主要系申请人委托代建及项目管理业务收入中包含部分项目管理费收入，如北京路威海路项目，上述项目申请人实际仅行使项目管理职责，只确认管理费收入并无成本；工程施工业务毛利率分别为26.12%、15.41%、27.33%和17.40%，报告期内有所波动；物资销售业务毛利率分别为14.32%、0.28%、2.38%及24.35%，2022年及2023年下降幅度较大，主要系矿粉等低毛利商品销售大幅增加，因此拉低该业务整体毛利率水平。</w:t>
      </w:r>
    </w:p>
    <w:p>
      <w:pPr>
        <w:pStyle w:val="2"/>
        <w:rPr>
          <w:rFonts w:hint="eastAsia"/>
          <w:color w:val="FF0000"/>
          <w:lang w:val="en-US" w:eastAsia="zh-CN"/>
        </w:rPr>
      </w:pPr>
      <w:r>
        <w:rPr>
          <w:rFonts w:hint="eastAsia" w:ascii="仿宋" w:hAnsi="仿宋" w:eastAsia="仿宋" w:cs="仿宋"/>
          <w:color w:val="FF0000"/>
          <w:kern w:val="0"/>
          <w:sz w:val="24"/>
          <w:szCs w:val="24"/>
          <w:lang w:val="en-US" w:eastAsia="zh-CN"/>
        </w:rPr>
        <w:t>测试图片：</w:t>
      </w:r>
    </w:p>
    <w:p>
      <w:pPr>
        <w:adjustRightInd w:val="0"/>
        <w:snapToGrid w:val="0"/>
        <w:spacing w:beforeLines="0" w:afterLines="0" w:line="360" w:lineRule="auto"/>
        <w:ind w:firstLine="480"/>
      </w:pPr>
      <w:r>
        <w:drawing>
          <wp:inline distT="0" distB="0" distL="114300" distR="114300">
            <wp:extent cx="5272405" cy="1379220"/>
            <wp:effectExtent l="0" t="0" r="1079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2405" cy="1379220"/>
                    </a:xfrm>
                    <a:prstGeom prst="rect">
                      <a:avLst/>
                    </a:prstGeom>
                    <a:noFill/>
                    <a:ln>
                      <a:noFill/>
                    </a:ln>
                  </pic:spPr>
                </pic:pic>
              </a:graphicData>
            </a:graphic>
          </wp:inline>
        </w:drawing>
      </w:r>
      <w:bookmarkStart w:id="3" w:name="_GoBack"/>
      <w:bookmarkEnd w:id="3"/>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仿宋">
    <w:altName w:val="微软雅黑"/>
    <w:panose1 w:val="02010609060101010101"/>
    <w:charset w:val="00"/>
    <w:family w:val="auto"/>
    <w:pitch w:val="default"/>
    <w:sig w:usb0="00000000" w:usb1="00000000" w:usb2="00000016" w:usb3="00000000" w:csb0="00040001" w:csb1="00000000"/>
  </w:font>
  <w:font w:name="仿宋_GB2312">
    <w:altName w:val="微软雅黑"/>
    <w:panose1 w:val="02010609030101010101"/>
    <w:charset w:val="00"/>
    <w:family w:val="swiss"/>
    <w:pitch w:val="default"/>
    <w:sig w:usb0="00000000" w:usb1="00000000" w:usb2="00000000" w:usb3="00000000" w:csb0="00040000" w:csb1="00000000"/>
  </w:font>
  <w:font w:name="楷体">
    <w:altName w:val="方正楷体_GBK"/>
    <w:panose1 w:val="02010609060101010101"/>
    <w:charset w:val="00"/>
    <w:family w:val="modern"/>
    <w:pitch w:val="default"/>
    <w:sig w:usb0="00000000" w:usb1="00000000" w:usb2="00000016" w:usb3="00000000" w:csb0="00040001" w:csb1="00000000"/>
  </w:font>
  <w:font w:name="方正楷体_GBK">
    <w:panose1 w:val="02000000000000000000"/>
    <w:charset w:val="86"/>
    <w:family w:val="auto"/>
    <w:pitch w:val="default"/>
    <w:sig w:usb0="A00002BF" w:usb1="38CF7CFA" w:usb2="00082016" w:usb3="00000000" w:csb0="00040001" w:csb1="00000000"/>
  </w:font>
  <w:font w:name="文泉驿正黑">
    <w:panose1 w:val="02000603000000000000"/>
    <w:charset w:val="86"/>
    <w:family w:val="auto"/>
    <w:pitch w:val="default"/>
    <w:sig w:usb0="900002BF" w:usb1="2BDF7DFB" w:usb2="00000036" w:usb3="00000000" w:csb0="603E000D" w:csb1="D2D70000"/>
  </w:font>
  <w:font w:name="国标黑体">
    <w:panose1 w:val="02000500000000000000"/>
    <w:charset w:val="86"/>
    <w:family w:val="auto"/>
    <w:pitch w:val="default"/>
    <w:sig w:usb0="00000001" w:usb1="08000000" w:usb2="00000000" w:usb3="00000000" w:csb0="00040000" w:csb1="00000000"/>
  </w:font>
  <w:font w:name="国标黑体-GB/T 2312">
    <w:panose1 w:val="020005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方正兰亭黑_GBK">
    <w:panose1 w:val="02000000000000000000"/>
    <w:charset w:val="86"/>
    <w:family w:val="auto"/>
    <w:pitch w:val="default"/>
    <w:sig w:usb0="A00002BF" w:usb1="3ACF7CFA" w:usb2="0008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CESI黑体-GB13000">
    <w:panose1 w:val="02000500000000000000"/>
    <w:charset w:val="86"/>
    <w:family w:val="auto"/>
    <w:pitch w:val="default"/>
    <w:sig w:usb0="800002BF" w:usb1="38CF7CF8" w:usb2="00000016" w:usb3="00000000" w:csb0="0004000F" w:csb1="00000000"/>
  </w:font>
  <w:font w:name="Courier New">
    <w:panose1 w:val="02070309020205020404"/>
    <w:charset w:val="00"/>
    <w:family w:val="auto"/>
    <w:pitch w:val="default"/>
    <w:sig w:usb0="00007A87" w:usb1="80000000" w:usb2="00000008" w:usb3="00000000" w:csb0="400001FF" w:csb1="FFFF0000"/>
  </w:font>
  <w:font w:name="Courier 10 Pitch">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宋体"/>
        <w:color w:val="auto"/>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KAAAAAACHTuJAAAAAAAAAAAAAAAAABAAAAAAAAAAAABAA&#10;AAAWAAAAZHJzL1BLAQIUABQAAAAIAIdO4kBrhfn7MQIAAGEEAAAOAAAAAAAAAAEAIAAAADUBAABk&#10;cnMvZTJvRG9jLnhtbFBLAQIUABQAAAAIAIdO4kCzSVju0AAAAAUBAAAPAAAAAAAAAAEAIAAAADgA&#10;AABkcnMvZG93bnJldi54bWxQSwUGAAAAAAYABgBZAQAA2A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color w:val="FF0000"/>
        <w:lang w:eastAsia="zh-CN"/>
      </w:rPr>
      <w:t>测试页脚：</w:t>
    </w:r>
    <w:r>
      <w:rPr>
        <w:rFonts w:hint="eastAsia"/>
        <w:color w:val="auto"/>
        <w:lang w:eastAsia="zh-CN"/>
      </w:rPr>
      <w:t>测试</w:t>
    </w:r>
    <w:r>
      <w:rPr>
        <w:rFonts w:hint="eastAsia"/>
        <w:color w:val="auto"/>
        <w:lang w:val="en-US" w:eastAsia="zh-CN"/>
      </w:rPr>
      <w:t>Test,test</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宋体"/>
        <w:color w:val="auto"/>
        <w:lang w:val="en-US" w:eastAsia="zh-CN"/>
      </w:rPr>
    </w:pPr>
    <w:r>
      <w:rPr>
        <w:rFonts w:hint="eastAsia"/>
        <w:color w:val="FF0000"/>
        <w:lang w:eastAsia="zh-CN"/>
      </w:rPr>
      <w:t>测试页眉：</w:t>
    </w:r>
    <w:r>
      <w:rPr>
        <w:rFonts w:hint="eastAsia"/>
        <w:color w:val="auto"/>
        <w:lang w:eastAsia="zh-CN"/>
      </w:rPr>
      <w:t>测</w:t>
    </w:r>
    <w:r>
      <w:rPr>
        <w:rFonts w:hint="eastAsia"/>
        <w:color w:val="auto"/>
        <w:lang w:val="en-US" w:eastAsia="zh-CN"/>
      </w:rPr>
      <w:t>test,Test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D2E81B"/>
    <w:multiLevelType w:val="singleLevel"/>
    <w:tmpl w:val="29D2E81B"/>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7F7E8B7"/>
    <w:rsid w:val="37DE511C"/>
    <w:rsid w:val="3AF78045"/>
    <w:rsid w:val="3B9F212D"/>
    <w:rsid w:val="3E13BABB"/>
    <w:rsid w:val="3FBF1B8C"/>
    <w:rsid w:val="3FFBDA2A"/>
    <w:rsid w:val="46CDD949"/>
    <w:rsid w:val="4A1947CF"/>
    <w:rsid w:val="4FE37685"/>
    <w:rsid w:val="57BEF559"/>
    <w:rsid w:val="57FFE274"/>
    <w:rsid w:val="5BBF25DE"/>
    <w:rsid w:val="5BDDFEB0"/>
    <w:rsid w:val="5BFDB70E"/>
    <w:rsid w:val="5CC74A1B"/>
    <w:rsid w:val="5DE6F6E0"/>
    <w:rsid w:val="5DF7C0C6"/>
    <w:rsid w:val="5FA9A043"/>
    <w:rsid w:val="5FBF9922"/>
    <w:rsid w:val="5FFFE435"/>
    <w:rsid w:val="67375118"/>
    <w:rsid w:val="6B7D4947"/>
    <w:rsid w:val="6DFFD25B"/>
    <w:rsid w:val="6E3D7ED0"/>
    <w:rsid w:val="6EE7CF00"/>
    <w:rsid w:val="6EEA715D"/>
    <w:rsid w:val="6F35C87D"/>
    <w:rsid w:val="6F5A376F"/>
    <w:rsid w:val="6FC3124D"/>
    <w:rsid w:val="6FDDD88F"/>
    <w:rsid w:val="737F3C5A"/>
    <w:rsid w:val="73F04D80"/>
    <w:rsid w:val="787F9549"/>
    <w:rsid w:val="797E6C20"/>
    <w:rsid w:val="7BBF13CC"/>
    <w:rsid w:val="7BFB653D"/>
    <w:rsid w:val="7CFF3C1B"/>
    <w:rsid w:val="7D7E44ED"/>
    <w:rsid w:val="7DE76724"/>
    <w:rsid w:val="7E8D8D9A"/>
    <w:rsid w:val="7EEE3C51"/>
    <w:rsid w:val="7EFCBB64"/>
    <w:rsid w:val="7EFFA111"/>
    <w:rsid w:val="7F3ADA2B"/>
    <w:rsid w:val="7F6BF6AA"/>
    <w:rsid w:val="7FBD240E"/>
    <w:rsid w:val="7FE71432"/>
    <w:rsid w:val="7FFC54BE"/>
    <w:rsid w:val="7FFEA706"/>
    <w:rsid w:val="9DBF6418"/>
    <w:rsid w:val="9FC7BBB3"/>
    <w:rsid w:val="A4AFF8C1"/>
    <w:rsid w:val="ABFD847E"/>
    <w:rsid w:val="AFFF1F6B"/>
    <w:rsid w:val="B1EFC494"/>
    <w:rsid w:val="BBF7E669"/>
    <w:rsid w:val="BDA96BF7"/>
    <w:rsid w:val="BF6BBCAA"/>
    <w:rsid w:val="BFE5461F"/>
    <w:rsid w:val="C55E215D"/>
    <w:rsid w:val="CEEABED6"/>
    <w:rsid w:val="D34F1444"/>
    <w:rsid w:val="D5F7C71B"/>
    <w:rsid w:val="D7ADD173"/>
    <w:rsid w:val="DB36ACB8"/>
    <w:rsid w:val="DC5F6540"/>
    <w:rsid w:val="DD7FE7FD"/>
    <w:rsid w:val="DFDBAE8F"/>
    <w:rsid w:val="E2672E06"/>
    <w:rsid w:val="E3F4FB8D"/>
    <w:rsid w:val="E3FF73B5"/>
    <w:rsid w:val="E6681D28"/>
    <w:rsid w:val="E73FF353"/>
    <w:rsid w:val="E7F560A4"/>
    <w:rsid w:val="E7FD8621"/>
    <w:rsid w:val="EEB35150"/>
    <w:rsid w:val="EEBDFBF1"/>
    <w:rsid w:val="F3B77600"/>
    <w:rsid w:val="F3EE8188"/>
    <w:rsid w:val="F61FC23B"/>
    <w:rsid w:val="F6F7BB21"/>
    <w:rsid w:val="F7378DDF"/>
    <w:rsid w:val="F97BB149"/>
    <w:rsid w:val="F9FBF680"/>
    <w:rsid w:val="F9FFF55D"/>
    <w:rsid w:val="FB8F8385"/>
    <w:rsid w:val="FBBE1258"/>
    <w:rsid w:val="FC7DE8E2"/>
    <w:rsid w:val="FD8E401B"/>
    <w:rsid w:val="FEACCCBC"/>
    <w:rsid w:val="FEBE3BCD"/>
    <w:rsid w:val="FED71D68"/>
    <w:rsid w:val="FEFF11BF"/>
    <w:rsid w:val="FF5F6F5B"/>
    <w:rsid w:val="FF7A7BBD"/>
    <w:rsid w:val="FFF58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6">
    <w:name w:val="heading 1"/>
    <w:basedOn w:val="1"/>
    <w:next w:val="1"/>
    <w:qFormat/>
    <w:uiPriority w:val="9"/>
    <w:pPr>
      <w:keepNext/>
      <w:keepLines/>
      <w:spacing w:before="340" w:after="330" w:line="578" w:lineRule="auto"/>
      <w:outlineLvl w:val="0"/>
    </w:pPr>
    <w:rPr>
      <w:b/>
      <w:bCs/>
      <w:kern w:val="44"/>
      <w:sz w:val="44"/>
      <w:szCs w:val="44"/>
    </w:rPr>
  </w:style>
  <w:style w:type="paragraph" w:styleId="7">
    <w:name w:val="heading 2"/>
    <w:basedOn w:val="1"/>
    <w:next w:val="1"/>
    <w:qFormat/>
    <w:uiPriority w:val="0"/>
    <w:pPr>
      <w:keepNext/>
      <w:keepLines/>
      <w:spacing w:line="415" w:lineRule="auto"/>
      <w:ind w:firstLine="200" w:firstLineChars="200"/>
      <w:outlineLvl w:val="1"/>
    </w:pPr>
    <w:rPr>
      <w:rFonts w:ascii="Arial" w:hAnsi="Arial" w:eastAsia="黑体"/>
      <w:bCs/>
      <w:sz w:val="24"/>
      <w:szCs w:val="32"/>
    </w:rPr>
  </w:style>
  <w:style w:type="paragraph" w:styleId="8">
    <w:name w:val="heading 3"/>
    <w:basedOn w:val="1"/>
    <w:next w:val="1"/>
    <w:qFormat/>
    <w:uiPriority w:val="0"/>
    <w:pPr>
      <w:keepNext/>
      <w:keepLines/>
      <w:spacing w:line="360" w:lineRule="auto"/>
      <w:ind w:firstLine="482" w:firstLineChars="200"/>
      <w:outlineLvl w:val="2"/>
    </w:pPr>
    <w:rPr>
      <w:rFonts w:ascii="Times New Roman" w:hAnsi="Times New Roman" w:eastAsia="仿宋"/>
      <w:bCs/>
      <w:sz w:val="24"/>
      <w:szCs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Body Text First Indent"/>
    <w:basedOn w:val="3"/>
    <w:next w:val="4"/>
    <w:qFormat/>
    <w:uiPriority w:val="0"/>
    <w:pPr>
      <w:spacing w:after="0"/>
      <w:ind w:firstLine="720" w:firstLineChars="200"/>
    </w:pPr>
    <w:rPr>
      <w:rFonts w:ascii="仿宋_GB2312" w:hAnsi="仿宋_GB2312" w:eastAsia="仿宋_GB2312"/>
    </w:rPr>
  </w:style>
  <w:style w:type="paragraph" w:styleId="3">
    <w:name w:val="Body Text"/>
    <w:basedOn w:val="1"/>
    <w:next w:val="1"/>
    <w:unhideWhenUsed/>
    <w:qFormat/>
    <w:uiPriority w:val="99"/>
    <w:pPr>
      <w:spacing w:after="120"/>
    </w:pPr>
  </w:style>
  <w:style w:type="paragraph" w:styleId="4">
    <w:name w:val="Body Text First Indent 2"/>
    <w:basedOn w:val="5"/>
    <w:next w:val="1"/>
    <w:qFormat/>
    <w:uiPriority w:val="0"/>
    <w:pPr>
      <w:ind w:firstLine="420"/>
    </w:pPr>
  </w:style>
  <w:style w:type="paragraph" w:styleId="5">
    <w:name w:val="Body Text Indent"/>
    <w:basedOn w:val="1"/>
    <w:next w:val="1"/>
    <w:qFormat/>
    <w:uiPriority w:val="0"/>
    <w:pPr>
      <w:spacing w:after="12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3">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psbc</cp:lastModifiedBy>
  <dcterms:modified xsi:type="dcterms:W3CDTF">2024-11-05T09:39:37Z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2052-11.1.0.11720</vt:lpwstr>
  </property>
</Properties>
</file>