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26" w:type="dxa"/>
        <w:tblLayout w:type="fixed"/>
        <w:tblLook w:val="04A0" w:firstRow="1" w:lastRow="0" w:firstColumn="1" w:lastColumn="0" w:noHBand="0" w:noVBand="1"/>
      </w:tblPr>
      <w:tblGrid>
        <w:gridCol w:w="817"/>
        <w:gridCol w:w="8709"/>
      </w:tblGrid>
      <w:tr w:rsidR="00AB2604" w:rsidTr="00AB2604">
        <w:tc>
          <w:tcPr>
            <w:tcW w:w="9526" w:type="dxa"/>
            <w:gridSpan w:val="2"/>
            <w:shd w:val="clear" w:color="auto" w:fill="FBD4B4" w:themeFill="accent6" w:themeFillTint="66"/>
          </w:tcPr>
          <w:p w:rsidR="00AB2604" w:rsidRDefault="00AB2604" w:rsidP="00434532"/>
        </w:tc>
      </w:tr>
      <w:tr w:rsidR="00AB2604" w:rsidTr="004B46CC">
        <w:tc>
          <w:tcPr>
            <w:tcW w:w="817" w:type="dxa"/>
          </w:tcPr>
          <w:p w:rsidR="00AB2604" w:rsidRDefault="00D566C0" w:rsidP="00D76FFF">
            <w:r>
              <w:t>1</w:t>
            </w:r>
            <w:r w:rsidR="00AB2604">
              <w:t>.</w:t>
            </w:r>
          </w:p>
        </w:tc>
        <w:tc>
          <w:tcPr>
            <w:tcW w:w="8709" w:type="dxa"/>
          </w:tcPr>
          <w:p w:rsidR="005631F6" w:rsidRPr="00924B3F" w:rsidRDefault="005631F6" w:rsidP="005631F6">
            <w:pPr>
              <w:autoSpaceDE w:val="0"/>
              <w:autoSpaceDN w:val="0"/>
              <w:adjustRightInd w:val="0"/>
            </w:pPr>
            <w:r w:rsidRPr="00924B3F">
              <w:t>Given the following memory values and a one-address</w:t>
            </w:r>
            <w:r>
              <w:t xml:space="preserve">    </w:t>
            </w:r>
            <w:r w:rsidRPr="00924B3F">
              <w:t xml:space="preserve">machine with an </w:t>
            </w:r>
            <w:proofErr w:type="gramStart"/>
            <w:r w:rsidRPr="00924B3F">
              <w:t>accumulator ,what</w:t>
            </w:r>
            <w:proofErr w:type="gramEnd"/>
            <w:r w:rsidRPr="00924B3F">
              <w:t xml:space="preserve"> values do the following instructions load into the accumulator?</w:t>
            </w:r>
          </w:p>
          <w:p w:rsidR="005631F6" w:rsidRPr="00924B3F" w:rsidRDefault="005631F6" w:rsidP="005631F6">
            <w:pPr>
              <w:pStyle w:val="ListParagraph"/>
              <w:widowControl w:val="0"/>
              <w:numPr>
                <w:ilvl w:val="0"/>
                <w:numId w:val="3"/>
              </w:numPr>
              <w:autoSpaceDE w:val="0"/>
              <w:autoSpaceDN w:val="0"/>
              <w:adjustRightInd w:val="0"/>
              <w:contextualSpacing w:val="0"/>
            </w:pPr>
            <w:r w:rsidRPr="00924B3F">
              <w:t xml:space="preserve">Word </w:t>
            </w:r>
            <w:r>
              <w:t>100</w:t>
            </w:r>
            <w:r w:rsidRPr="00924B3F">
              <w:t xml:space="preserve"> contains </w:t>
            </w:r>
            <w:r>
              <w:t>300</w:t>
            </w:r>
          </w:p>
          <w:p w:rsidR="005631F6" w:rsidRPr="00924B3F" w:rsidRDefault="005631F6" w:rsidP="005631F6">
            <w:pPr>
              <w:pStyle w:val="ListParagraph"/>
              <w:widowControl w:val="0"/>
              <w:numPr>
                <w:ilvl w:val="0"/>
                <w:numId w:val="3"/>
              </w:numPr>
              <w:autoSpaceDE w:val="0"/>
              <w:autoSpaceDN w:val="0"/>
              <w:adjustRightInd w:val="0"/>
              <w:contextualSpacing w:val="0"/>
            </w:pPr>
            <w:r w:rsidRPr="00924B3F">
              <w:t xml:space="preserve">Word </w:t>
            </w:r>
            <w:r>
              <w:t>200</w:t>
            </w:r>
            <w:r w:rsidRPr="00924B3F">
              <w:t xml:space="preserve"> contains </w:t>
            </w:r>
            <w:r>
              <w:t>400</w:t>
            </w:r>
          </w:p>
          <w:p w:rsidR="005631F6" w:rsidRPr="00924B3F" w:rsidRDefault="005631F6" w:rsidP="005631F6">
            <w:pPr>
              <w:pStyle w:val="ListParagraph"/>
              <w:widowControl w:val="0"/>
              <w:numPr>
                <w:ilvl w:val="0"/>
                <w:numId w:val="3"/>
              </w:numPr>
              <w:autoSpaceDE w:val="0"/>
              <w:autoSpaceDN w:val="0"/>
              <w:contextualSpacing w:val="0"/>
            </w:pPr>
            <w:r w:rsidRPr="00924B3F">
              <w:t xml:space="preserve">Word </w:t>
            </w:r>
            <w:r>
              <w:t>300</w:t>
            </w:r>
            <w:r w:rsidRPr="00924B3F">
              <w:t xml:space="preserve"> contains </w:t>
            </w:r>
            <w:r>
              <w:t>500</w:t>
            </w:r>
            <w:r w:rsidRPr="00924B3F">
              <w:t>.</w:t>
            </w:r>
          </w:p>
          <w:p w:rsidR="005631F6" w:rsidRPr="00924B3F" w:rsidRDefault="005631F6" w:rsidP="005631F6">
            <w:pPr>
              <w:pStyle w:val="ListParagraph"/>
              <w:widowControl w:val="0"/>
              <w:numPr>
                <w:ilvl w:val="0"/>
                <w:numId w:val="3"/>
              </w:numPr>
              <w:autoSpaceDE w:val="0"/>
              <w:autoSpaceDN w:val="0"/>
              <w:spacing w:line="360" w:lineRule="auto"/>
              <w:contextualSpacing w:val="0"/>
            </w:pPr>
            <w:r w:rsidRPr="00924B3F">
              <w:t xml:space="preserve">Word </w:t>
            </w:r>
            <w:r>
              <w:t>400</w:t>
            </w:r>
            <w:r w:rsidRPr="00924B3F">
              <w:t xml:space="preserve"> contains </w:t>
            </w:r>
            <w:r>
              <w:t>600</w:t>
            </w:r>
            <w:r w:rsidRPr="00924B3F">
              <w:t>.</w:t>
            </w:r>
          </w:p>
          <w:p w:rsidR="005631F6" w:rsidRPr="00924B3F" w:rsidRDefault="005631F6" w:rsidP="005631F6">
            <w:pPr>
              <w:autoSpaceDE w:val="0"/>
              <w:autoSpaceDN w:val="0"/>
              <w:adjustRightInd w:val="0"/>
            </w:pPr>
            <w:r w:rsidRPr="00924B3F">
              <w:t xml:space="preserve">a. LOAD IMMEDIATE </w:t>
            </w:r>
            <w:r>
              <w:t>100</w:t>
            </w:r>
          </w:p>
          <w:p w:rsidR="005631F6" w:rsidRPr="00924B3F" w:rsidRDefault="005631F6" w:rsidP="005631F6">
            <w:pPr>
              <w:autoSpaceDE w:val="0"/>
              <w:autoSpaceDN w:val="0"/>
              <w:adjustRightInd w:val="0"/>
            </w:pPr>
            <w:r w:rsidRPr="00924B3F">
              <w:t xml:space="preserve">b. LOAD DIRECT </w:t>
            </w:r>
            <w:r>
              <w:t>1</w:t>
            </w:r>
            <w:r w:rsidRPr="00924B3F">
              <w:t>0</w:t>
            </w:r>
            <w:r>
              <w:t>0</w:t>
            </w:r>
          </w:p>
          <w:p w:rsidR="005631F6" w:rsidRPr="00924B3F" w:rsidRDefault="005631F6" w:rsidP="005631F6">
            <w:pPr>
              <w:autoSpaceDE w:val="0"/>
              <w:autoSpaceDN w:val="0"/>
              <w:adjustRightInd w:val="0"/>
            </w:pPr>
            <w:r w:rsidRPr="00924B3F">
              <w:t xml:space="preserve">c. LOAD INDIRECT </w:t>
            </w:r>
            <w:r>
              <w:t>10</w:t>
            </w:r>
            <w:r w:rsidRPr="00924B3F">
              <w:t>0</w:t>
            </w:r>
          </w:p>
          <w:p w:rsidR="005631F6" w:rsidRPr="00924B3F" w:rsidRDefault="005631F6" w:rsidP="005631F6">
            <w:pPr>
              <w:autoSpaceDE w:val="0"/>
              <w:autoSpaceDN w:val="0"/>
              <w:adjustRightInd w:val="0"/>
            </w:pPr>
            <w:r w:rsidRPr="00924B3F">
              <w:t xml:space="preserve">d. LOAD IMMEDIATE </w:t>
            </w:r>
            <w:r>
              <w:t>200</w:t>
            </w:r>
          </w:p>
          <w:p w:rsidR="005631F6" w:rsidRPr="00924B3F" w:rsidRDefault="005631F6" w:rsidP="005631F6">
            <w:pPr>
              <w:autoSpaceDE w:val="0"/>
              <w:autoSpaceDN w:val="0"/>
              <w:adjustRightInd w:val="0"/>
            </w:pPr>
            <w:r w:rsidRPr="00924B3F">
              <w:t xml:space="preserve">e. LOAD DIRECT </w:t>
            </w:r>
            <w:r>
              <w:t>200</w:t>
            </w:r>
          </w:p>
          <w:p w:rsidR="00AB2604" w:rsidRDefault="005631F6" w:rsidP="005631F6">
            <w:r w:rsidRPr="00924B3F">
              <w:t xml:space="preserve">f. LOAD INDIRECT </w:t>
            </w:r>
            <w:r>
              <w:t>200</w:t>
            </w:r>
            <w:r w:rsidRPr="00924B3F">
              <w:t xml:space="preserve">   </w:t>
            </w:r>
          </w:p>
        </w:tc>
      </w:tr>
      <w:tr w:rsidR="00AB2604" w:rsidTr="004B46CC">
        <w:tc>
          <w:tcPr>
            <w:tcW w:w="817" w:type="dxa"/>
          </w:tcPr>
          <w:p w:rsidR="00AB2604" w:rsidRDefault="005631F6" w:rsidP="00D76FFF">
            <w:r>
              <w:t>Soln.</w:t>
            </w:r>
          </w:p>
        </w:tc>
        <w:tc>
          <w:tcPr>
            <w:tcW w:w="8709" w:type="dxa"/>
          </w:tcPr>
          <w:p w:rsidR="00AB2604" w:rsidRDefault="005631F6">
            <w:r>
              <w:t>100    b) 300    c)  500     d) 200   e) 400   f)  600</w:t>
            </w:r>
          </w:p>
        </w:tc>
      </w:tr>
      <w:tr w:rsidR="00441B66" w:rsidTr="00441B66">
        <w:tc>
          <w:tcPr>
            <w:tcW w:w="9526" w:type="dxa"/>
            <w:gridSpan w:val="2"/>
            <w:shd w:val="clear" w:color="auto" w:fill="FBD4B4" w:themeFill="accent6" w:themeFillTint="66"/>
          </w:tcPr>
          <w:p w:rsidR="00441B66" w:rsidRDefault="00441B66"/>
        </w:tc>
      </w:tr>
      <w:tr w:rsidR="00441B66" w:rsidTr="004B46CC">
        <w:tc>
          <w:tcPr>
            <w:tcW w:w="817" w:type="dxa"/>
          </w:tcPr>
          <w:p w:rsidR="00441B66" w:rsidRDefault="009C5F6C" w:rsidP="00D76FFF">
            <w:r>
              <w:t>2</w:t>
            </w:r>
            <w:r w:rsidR="00441B66">
              <w:t>.</w:t>
            </w:r>
          </w:p>
        </w:tc>
        <w:tc>
          <w:tcPr>
            <w:tcW w:w="8709" w:type="dxa"/>
          </w:tcPr>
          <w:p w:rsidR="00441B66" w:rsidRDefault="00441B66">
            <w:r w:rsidRPr="00A55F1A">
              <w:rPr>
                <w:rFonts w:ascii="Calibri" w:eastAsia="Calibri"/>
              </w:rPr>
              <w:t xml:space="preserve">Consider two processors P1 and P2 </w:t>
            </w:r>
            <w:r w:rsidRPr="00A55F1A">
              <w:t>executing</w:t>
            </w:r>
            <w:r w:rsidRPr="00A55F1A">
              <w:rPr>
                <w:rFonts w:ascii="Calibri" w:eastAsia="Calibri"/>
              </w:rPr>
              <w:t xml:space="preserve"> the same instruction set.</w:t>
            </w:r>
            <w:r>
              <w:t xml:space="preserve"> Assume that under identical conditions, for the same input, a program running on P2 takes 25% less time but incurs 20% more CPI as compared to the program running on P1. If the clock frequency of P1 is 1GHz, then calculate the clock frequency of P2.</w:t>
            </w:r>
          </w:p>
        </w:tc>
      </w:tr>
      <w:tr w:rsidR="00441B66" w:rsidTr="00B8601E">
        <w:trPr>
          <w:trHeight w:val="4955"/>
        </w:trPr>
        <w:tc>
          <w:tcPr>
            <w:tcW w:w="817" w:type="dxa"/>
          </w:tcPr>
          <w:p w:rsidR="00441B66" w:rsidRDefault="00B8601E" w:rsidP="00D76FFF">
            <w:proofErr w:type="spellStart"/>
            <w:r>
              <w:t>Soln</w:t>
            </w:r>
            <w:proofErr w:type="spellEnd"/>
          </w:p>
        </w:tc>
        <w:tc>
          <w:tcPr>
            <w:tcW w:w="8709" w:type="dxa"/>
          </w:tcPr>
          <w:p w:rsidR="00441B66" w:rsidRDefault="00B8601E">
            <w:r>
              <w:rPr>
                <w:noProof/>
                <w:lang w:eastAsia="en-IN"/>
              </w:rPr>
              <w:drawing>
                <wp:inline distT="0" distB="0" distL="0" distR="0" wp14:anchorId="364E172C" wp14:editId="6CDBD5F6">
                  <wp:extent cx="5057775" cy="2952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057775" cy="2952750"/>
                          </a:xfrm>
                          <a:prstGeom prst="rect">
                            <a:avLst/>
                          </a:prstGeom>
                        </pic:spPr>
                      </pic:pic>
                    </a:graphicData>
                  </a:graphic>
                </wp:inline>
              </w:drawing>
            </w:r>
          </w:p>
          <w:p w:rsidR="00B8601E" w:rsidRDefault="00B8601E" w:rsidP="00B8601E"/>
        </w:tc>
      </w:tr>
      <w:tr w:rsidR="00FF4CDB" w:rsidTr="004B46CC">
        <w:tc>
          <w:tcPr>
            <w:tcW w:w="817" w:type="dxa"/>
          </w:tcPr>
          <w:p w:rsidR="00FF4CDB" w:rsidRDefault="009C5F6C" w:rsidP="00D76FFF">
            <w:r>
              <w:t>3.</w:t>
            </w:r>
          </w:p>
        </w:tc>
        <w:tc>
          <w:tcPr>
            <w:tcW w:w="8709" w:type="dxa"/>
          </w:tcPr>
          <w:p w:rsidR="002034BB" w:rsidRPr="007F78E0" w:rsidRDefault="002034BB" w:rsidP="002034BB">
            <w:pPr>
              <w:autoSpaceDE w:val="0"/>
              <w:autoSpaceDN w:val="0"/>
              <w:adjustRightInd w:val="0"/>
              <w:jc w:val="both"/>
              <w:rPr>
                <w:rFonts w:cs="Calibri"/>
                <w:lang w:val="en-US"/>
              </w:rPr>
            </w:pPr>
            <w:r w:rsidRPr="007F78E0">
              <w:rPr>
                <w:rFonts w:cs="Calibri"/>
                <w:lang w:val="en-US"/>
              </w:rPr>
              <w:t xml:space="preserve">A processor accesses main memory with an average access time of T2. A smaller cache memory is interposed between the processor and main memory. The cache has a significantly faster access time of T1 &lt;&lt; T2. The cache holds, at any time, copies of some main memory words and is designed so that the words more likely to be accessed in the near future are in the cache. Assume that the probability that the next word accessed by the processor is in the cache is H, known as the hit ratio. </w:t>
            </w:r>
          </w:p>
          <w:p w:rsidR="002034BB" w:rsidRPr="007F78E0" w:rsidRDefault="002034BB" w:rsidP="002034BB">
            <w:pPr>
              <w:pStyle w:val="ListParagraph"/>
              <w:widowControl w:val="0"/>
              <w:numPr>
                <w:ilvl w:val="0"/>
                <w:numId w:val="9"/>
              </w:numPr>
              <w:autoSpaceDE w:val="0"/>
              <w:autoSpaceDN w:val="0"/>
              <w:adjustRightInd w:val="0"/>
              <w:contextualSpacing w:val="0"/>
              <w:jc w:val="both"/>
              <w:rPr>
                <w:rFonts w:cs="Calibri"/>
                <w:lang w:val="en-US"/>
              </w:rPr>
            </w:pPr>
            <w:r w:rsidRPr="007F78E0">
              <w:rPr>
                <w:rFonts w:cs="Calibri"/>
                <w:lang w:val="en-US"/>
              </w:rPr>
              <w:t>For any single memory access, what is the theoretical speedup of accessing the word in the cache rather than in main memory?</w:t>
            </w:r>
          </w:p>
          <w:p w:rsidR="002034BB" w:rsidRPr="007F78E0" w:rsidRDefault="002034BB" w:rsidP="002034BB">
            <w:pPr>
              <w:pStyle w:val="ListParagraph"/>
              <w:widowControl w:val="0"/>
              <w:numPr>
                <w:ilvl w:val="0"/>
                <w:numId w:val="9"/>
              </w:numPr>
              <w:autoSpaceDE w:val="0"/>
              <w:autoSpaceDN w:val="0"/>
              <w:adjustRightInd w:val="0"/>
              <w:contextualSpacing w:val="0"/>
              <w:jc w:val="both"/>
              <w:rPr>
                <w:rFonts w:cs="Calibri"/>
                <w:lang w:val="en-US"/>
              </w:rPr>
            </w:pPr>
            <w:r w:rsidRPr="007F78E0">
              <w:rPr>
                <w:rFonts w:cs="Calibri"/>
                <w:lang w:val="en-US"/>
              </w:rPr>
              <w:t xml:space="preserve">Let </w:t>
            </w:r>
            <w:proofErr w:type="spellStart"/>
            <w:r w:rsidRPr="007F78E0">
              <w:rPr>
                <w:rFonts w:cs="Calibri"/>
                <w:lang w:val="en-US"/>
              </w:rPr>
              <w:t>T</w:t>
            </w:r>
            <w:proofErr w:type="spellEnd"/>
            <w:r w:rsidRPr="007F78E0">
              <w:rPr>
                <w:rFonts w:cs="Calibri"/>
                <w:lang w:val="en-US"/>
              </w:rPr>
              <w:t xml:space="preserve"> be the average access time. Express T as a function of T1, T2, and </w:t>
            </w:r>
            <w:proofErr w:type="spellStart"/>
            <w:r w:rsidRPr="007F78E0">
              <w:rPr>
                <w:rFonts w:cs="Calibri"/>
                <w:lang w:val="en-US"/>
              </w:rPr>
              <w:t>H.What</w:t>
            </w:r>
            <w:proofErr w:type="spellEnd"/>
            <w:r w:rsidRPr="007F78E0">
              <w:rPr>
                <w:rFonts w:cs="Calibri"/>
                <w:lang w:val="en-US"/>
              </w:rPr>
              <w:t xml:space="preserve"> is the overall speedup as a function of H?</w:t>
            </w:r>
          </w:p>
          <w:p w:rsidR="00686084" w:rsidRDefault="002034BB" w:rsidP="002034BB">
            <w:pPr>
              <w:rPr>
                <w:rFonts w:cs="Calibri"/>
                <w:lang w:val="en-US"/>
              </w:rPr>
            </w:pPr>
            <w:r w:rsidRPr="007F78E0">
              <w:rPr>
                <w:rFonts w:cs="Calibri"/>
                <w:lang w:val="en-US"/>
              </w:rPr>
              <w:t xml:space="preserve">In practice, a system may be designed so that the processor must first access the cache to determine if the word is in the cache and, if it is not, then access main memory, so that on a miss (opposite of a hit), memory access time is T1 T2. Express T as a function of T1, T2, and H. </w:t>
            </w:r>
            <w:r w:rsidR="00686084">
              <w:rPr>
                <w:rFonts w:cs="Calibri"/>
                <w:lang w:val="en-US"/>
              </w:rPr>
              <w:t xml:space="preserve">   </w:t>
            </w:r>
          </w:p>
          <w:p w:rsidR="00FF4CDB" w:rsidRDefault="002034BB" w:rsidP="00686084">
            <w:pPr>
              <w:pStyle w:val="ListParagraph"/>
              <w:numPr>
                <w:ilvl w:val="0"/>
                <w:numId w:val="9"/>
              </w:numPr>
            </w:pPr>
            <w:r w:rsidRPr="00686084">
              <w:rPr>
                <w:rFonts w:cs="Calibri"/>
                <w:lang w:val="en-US"/>
              </w:rPr>
              <w:lastRenderedPageBreak/>
              <w:t>Now calculate the speedup and compare to the result produced in part (b).</w:t>
            </w:r>
          </w:p>
        </w:tc>
      </w:tr>
      <w:tr w:rsidR="002034BB" w:rsidTr="004B46CC">
        <w:tc>
          <w:tcPr>
            <w:tcW w:w="817" w:type="dxa"/>
          </w:tcPr>
          <w:p w:rsidR="002034BB" w:rsidRDefault="008C5FD4" w:rsidP="00D76FFF">
            <w:r>
              <w:lastRenderedPageBreak/>
              <w:t>Soln.</w:t>
            </w:r>
          </w:p>
        </w:tc>
        <w:tc>
          <w:tcPr>
            <w:tcW w:w="8709" w:type="dxa"/>
          </w:tcPr>
          <w:p w:rsidR="002034BB" w:rsidRDefault="002034BB" w:rsidP="002034BB">
            <w:pPr>
              <w:autoSpaceDE w:val="0"/>
              <w:autoSpaceDN w:val="0"/>
              <w:adjustRightInd w:val="0"/>
              <w:jc w:val="both"/>
              <w:rPr>
                <w:rFonts w:cs="Calibri"/>
                <w:lang w:val="en-US"/>
              </w:rPr>
            </w:pPr>
          </w:p>
          <w:p w:rsidR="008C5FD4" w:rsidRPr="007F78E0" w:rsidRDefault="008C5FD4" w:rsidP="008C5FD4">
            <w:pPr>
              <w:autoSpaceDE w:val="0"/>
              <w:autoSpaceDN w:val="0"/>
              <w:adjustRightInd w:val="0"/>
              <w:jc w:val="both"/>
              <w:rPr>
                <w:rFonts w:cs="Calibri"/>
                <w:lang w:val="en-US"/>
              </w:rPr>
            </w:pPr>
            <w:r>
              <w:rPr>
                <w:rFonts w:cs="Calibri"/>
                <w:noProof/>
                <w:lang w:eastAsia="en-IN"/>
              </w:rPr>
              <w:drawing>
                <wp:inline distT="0" distB="0" distL="0" distR="0" wp14:anchorId="55652E16" wp14:editId="25A5EB6B">
                  <wp:extent cx="5393055" cy="2117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393055" cy="2117725"/>
                          </a:xfrm>
                          <a:prstGeom prst="rect">
                            <a:avLst/>
                          </a:prstGeom>
                        </pic:spPr>
                      </pic:pic>
                    </a:graphicData>
                  </a:graphic>
                </wp:inline>
              </w:drawing>
            </w:r>
          </w:p>
        </w:tc>
      </w:tr>
      <w:tr w:rsidR="002034BB" w:rsidTr="004B46CC">
        <w:tc>
          <w:tcPr>
            <w:tcW w:w="817" w:type="dxa"/>
          </w:tcPr>
          <w:p w:rsidR="002034BB" w:rsidRDefault="00A253F4" w:rsidP="00D76FFF">
            <w:r>
              <w:t>4</w:t>
            </w:r>
            <w:r w:rsidR="007F1EAE">
              <w:t>.</w:t>
            </w:r>
          </w:p>
        </w:tc>
        <w:tc>
          <w:tcPr>
            <w:tcW w:w="8709" w:type="dxa"/>
          </w:tcPr>
          <w:p w:rsidR="002034BB" w:rsidRPr="007F78E0" w:rsidRDefault="007F1EAE" w:rsidP="00AE1C89">
            <w:pPr>
              <w:autoSpaceDE w:val="0"/>
              <w:autoSpaceDN w:val="0"/>
              <w:adjustRightInd w:val="0"/>
              <w:jc w:val="both"/>
              <w:rPr>
                <w:rFonts w:cs="Calibri"/>
                <w:lang w:val="en-US"/>
              </w:rPr>
            </w:pPr>
            <w:r w:rsidRPr="005943D0">
              <w:t xml:space="preserve">The instruction pipeline of a RISC processor has the following stages: Instruction Fetch (IF), Instruction Decode (ID), Operand Fetch (OF), Perform Operation (PO) and </w:t>
            </w:r>
            <w:proofErr w:type="spellStart"/>
            <w:r w:rsidRPr="005943D0">
              <w:t>Writeback</w:t>
            </w:r>
            <w:proofErr w:type="spellEnd"/>
            <w:r w:rsidRPr="005943D0">
              <w:t xml:space="preserve"> </w:t>
            </w:r>
            <w:r>
              <w:t xml:space="preserve">(WB). The IF, ID, OF and WB stages take 1 clock cycle each for every instruction. Consider a sequence of 100 instructions. In the PO stage, 40 instructions take 3 clock cycles each, 35 instructions take 2 clock cycles each and the remaining 25 instructions take 1 clock cycle each. Assume that there are no data hazards and no control hazards. </w:t>
            </w:r>
            <w:r w:rsidR="00AE1C89">
              <w:t>C</w:t>
            </w:r>
            <w:r>
              <w:t>alculate the number of clock cycles required for the completion of execution of the sequence of all 100 instructions.</w:t>
            </w:r>
          </w:p>
        </w:tc>
      </w:tr>
      <w:tr w:rsidR="002034BB" w:rsidTr="00AE1C89">
        <w:trPr>
          <w:trHeight w:val="5944"/>
        </w:trPr>
        <w:tc>
          <w:tcPr>
            <w:tcW w:w="817" w:type="dxa"/>
          </w:tcPr>
          <w:p w:rsidR="002034BB" w:rsidRDefault="007F1EAE" w:rsidP="00D76FFF">
            <w:r>
              <w:t>Soln.</w:t>
            </w:r>
          </w:p>
        </w:tc>
        <w:tc>
          <w:tcPr>
            <w:tcW w:w="8709" w:type="dxa"/>
          </w:tcPr>
          <w:p w:rsidR="002034BB" w:rsidRDefault="002034BB" w:rsidP="002034BB">
            <w:pPr>
              <w:autoSpaceDE w:val="0"/>
              <w:autoSpaceDN w:val="0"/>
              <w:adjustRightInd w:val="0"/>
              <w:jc w:val="both"/>
              <w:rPr>
                <w:rFonts w:cs="Calibri"/>
                <w:lang w:val="en-US"/>
              </w:rPr>
            </w:pPr>
          </w:p>
          <w:p w:rsidR="00B73370" w:rsidRDefault="007F1EAE" w:rsidP="007F1EAE">
            <w:pPr>
              <w:autoSpaceDE w:val="0"/>
              <w:autoSpaceDN w:val="0"/>
              <w:adjustRightInd w:val="0"/>
              <w:jc w:val="both"/>
              <w:rPr>
                <w:rFonts w:cs="Calibri"/>
                <w:lang w:val="en-US"/>
              </w:rPr>
            </w:pPr>
            <w:r>
              <w:rPr>
                <w:rFonts w:cs="Calibri"/>
                <w:noProof/>
                <w:lang w:eastAsia="en-IN"/>
              </w:rPr>
              <w:drawing>
                <wp:inline distT="0" distB="0" distL="0" distR="0" wp14:anchorId="52E42F49" wp14:editId="16F6DE43">
                  <wp:extent cx="470535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705350" cy="3133725"/>
                          </a:xfrm>
                          <a:prstGeom prst="rect">
                            <a:avLst/>
                          </a:prstGeom>
                        </pic:spPr>
                      </pic:pic>
                    </a:graphicData>
                  </a:graphic>
                </wp:inline>
              </w:drawing>
            </w:r>
          </w:p>
          <w:p w:rsidR="007F1EAE" w:rsidRPr="00B73370" w:rsidRDefault="00B73370" w:rsidP="00B73370">
            <w:pPr>
              <w:tabs>
                <w:tab w:val="left" w:pos="1290"/>
              </w:tabs>
              <w:rPr>
                <w:rFonts w:cs="Calibri"/>
                <w:lang w:val="en-US"/>
              </w:rPr>
            </w:pPr>
            <w:r>
              <w:rPr>
                <w:rFonts w:cs="Calibri"/>
                <w:lang w:val="en-US"/>
              </w:rPr>
              <w:tab/>
            </w:r>
          </w:p>
        </w:tc>
      </w:tr>
      <w:tr w:rsidR="00B73370" w:rsidTr="00AE1C89">
        <w:trPr>
          <w:trHeight w:val="5944"/>
        </w:trPr>
        <w:tc>
          <w:tcPr>
            <w:tcW w:w="817" w:type="dxa"/>
          </w:tcPr>
          <w:p w:rsidR="00B73370" w:rsidRDefault="00B73370" w:rsidP="00D76FFF">
            <w:r>
              <w:lastRenderedPageBreak/>
              <w:t>5.</w:t>
            </w:r>
          </w:p>
        </w:tc>
        <w:tc>
          <w:tcPr>
            <w:tcW w:w="8709" w:type="dxa"/>
          </w:tcPr>
          <w:p w:rsidR="00B73370" w:rsidRPr="00B73370" w:rsidRDefault="00B73370" w:rsidP="00B73370">
            <w:pPr>
              <w:autoSpaceDE w:val="0"/>
              <w:autoSpaceDN w:val="0"/>
              <w:adjustRightInd w:val="0"/>
              <w:jc w:val="both"/>
              <w:rPr>
                <w:rFonts w:cs="Calibri"/>
              </w:rPr>
            </w:pPr>
            <w:r w:rsidRPr="00B73370">
              <w:rPr>
                <w:rFonts w:cs="Calibri"/>
                <w:lang w:val="en-US"/>
              </w:rPr>
              <w:t xml:space="preserve">Suppose that we are considering an enhancement that runs 10 times faster than the original machine, but is usable only 40% of the time. What is the overall speedup gained by incorporating the enhancement? </w:t>
            </w:r>
          </w:p>
          <w:p w:rsidR="00B73370" w:rsidRDefault="00B73370" w:rsidP="002034BB">
            <w:pPr>
              <w:autoSpaceDE w:val="0"/>
              <w:autoSpaceDN w:val="0"/>
              <w:adjustRightInd w:val="0"/>
              <w:jc w:val="both"/>
              <w:rPr>
                <w:rFonts w:cs="Calibri"/>
                <w:lang w:val="en-US"/>
              </w:rPr>
            </w:pPr>
          </w:p>
          <w:p w:rsidR="00B73370" w:rsidRDefault="00B73370" w:rsidP="002034BB">
            <w:pPr>
              <w:autoSpaceDE w:val="0"/>
              <w:autoSpaceDN w:val="0"/>
              <w:adjustRightInd w:val="0"/>
              <w:jc w:val="both"/>
              <w:rPr>
                <w:rFonts w:cs="Calibri"/>
                <w:lang w:val="en-US"/>
              </w:rPr>
            </w:pPr>
            <w:r>
              <w:rPr>
                <w:rFonts w:cs="Calibri"/>
                <w:lang w:val="en-US"/>
              </w:rPr>
              <w:t>Solution:</w:t>
            </w:r>
          </w:p>
          <w:p w:rsidR="00B73370" w:rsidRDefault="00B73370" w:rsidP="002034BB">
            <w:pPr>
              <w:autoSpaceDE w:val="0"/>
              <w:autoSpaceDN w:val="0"/>
              <w:adjustRightInd w:val="0"/>
              <w:jc w:val="both"/>
              <w:rPr>
                <w:rFonts w:cs="Calibri"/>
                <w:lang w:val="en-US"/>
              </w:rPr>
            </w:pPr>
          </w:p>
          <w:p w:rsidR="00B73370" w:rsidRDefault="00B73370" w:rsidP="002034BB">
            <w:pPr>
              <w:autoSpaceDE w:val="0"/>
              <w:autoSpaceDN w:val="0"/>
              <w:adjustRightInd w:val="0"/>
              <w:jc w:val="both"/>
              <w:rPr>
                <w:rFonts w:cs="Calibri"/>
                <w:lang w:val="en-US"/>
              </w:rPr>
            </w:pPr>
            <w:r>
              <w:rPr>
                <w:rFonts w:cs="Calibri"/>
                <w:lang w:val="en-US"/>
              </w:rPr>
              <w:t>N=10</w:t>
            </w:r>
          </w:p>
          <w:p w:rsidR="00B73370" w:rsidRDefault="00B73370" w:rsidP="002034BB">
            <w:pPr>
              <w:autoSpaceDE w:val="0"/>
              <w:autoSpaceDN w:val="0"/>
              <w:adjustRightInd w:val="0"/>
              <w:jc w:val="both"/>
              <w:rPr>
                <w:rFonts w:cs="Calibri"/>
                <w:lang w:val="en-US"/>
              </w:rPr>
            </w:pPr>
            <w:r>
              <w:rPr>
                <w:rFonts w:cs="Calibri"/>
                <w:lang w:val="en-US"/>
              </w:rPr>
              <w:t>f=40%</w:t>
            </w:r>
          </w:p>
          <w:p w:rsidR="00B73370" w:rsidRDefault="00B73370" w:rsidP="002034BB">
            <w:pPr>
              <w:autoSpaceDE w:val="0"/>
              <w:autoSpaceDN w:val="0"/>
              <w:adjustRightInd w:val="0"/>
              <w:jc w:val="both"/>
              <w:rPr>
                <w:rFonts w:cs="Calibri"/>
                <w:lang w:val="en-US"/>
              </w:rPr>
            </w:pPr>
          </w:p>
          <w:p w:rsidR="00B73370" w:rsidRDefault="00B73370" w:rsidP="002034BB">
            <w:pPr>
              <w:autoSpaceDE w:val="0"/>
              <w:autoSpaceDN w:val="0"/>
              <w:adjustRightInd w:val="0"/>
              <w:jc w:val="both"/>
              <w:rPr>
                <w:rFonts w:cs="Calibri"/>
                <w:lang w:val="en-US"/>
              </w:rPr>
            </w:pPr>
            <w:r w:rsidRPr="00B73370">
              <w:rPr>
                <w:rFonts w:cs="Calibri"/>
                <w:noProof/>
                <w:lang w:eastAsia="en-IN"/>
              </w:rPr>
              <w:drawing>
                <wp:inline distT="0" distB="0" distL="0" distR="0" wp14:anchorId="6CC2DEF8" wp14:editId="0AF0B853">
                  <wp:extent cx="2170706" cy="632689"/>
                  <wp:effectExtent l="0" t="0" r="1270" b="0"/>
                  <wp:docPr id="18435"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5" name="Picture 6"/>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5355" cy="634044"/>
                          </a:xfrm>
                          <a:prstGeom prst="rect">
                            <a:avLst/>
                          </a:prstGeom>
                          <a:noFill/>
                          <a:ln>
                            <a:noFill/>
                          </a:ln>
                          <a:extLst/>
                        </pic:spPr>
                      </pic:pic>
                    </a:graphicData>
                  </a:graphic>
                </wp:inline>
              </w:drawing>
            </w:r>
          </w:p>
          <w:p w:rsidR="00B73370" w:rsidRDefault="00B73370" w:rsidP="00B73370">
            <w:pPr>
              <w:rPr>
                <w:rFonts w:cs="Calibri"/>
                <w:lang w:val="en-US"/>
              </w:rPr>
            </w:pPr>
          </w:p>
          <w:p w:rsidR="00B73370" w:rsidRPr="00B73370" w:rsidRDefault="00B73370" w:rsidP="00B73370">
            <w:pPr>
              <w:ind w:firstLine="720"/>
              <w:rPr>
                <w:rFonts w:cs="Calibri"/>
                <w:lang w:val="en-US"/>
              </w:rPr>
            </w:pPr>
            <m:oMath>
              <m:r>
                <w:rPr>
                  <w:rFonts w:ascii="Cambria Math" w:hAnsi="Cambria Math" w:cs="Calibri"/>
                  <w:lang w:val="en-US"/>
                </w:rPr>
                <m:t>Speedup=</m:t>
              </m:r>
              <m:f>
                <m:fPr>
                  <m:ctrlPr>
                    <w:rPr>
                      <w:rFonts w:ascii="Cambria Math" w:hAnsi="Cambria Math" w:cs="Calibri"/>
                      <w:i/>
                      <w:lang w:val="en-US"/>
                    </w:rPr>
                  </m:ctrlPr>
                </m:fPr>
                <m:num>
                  <m:r>
                    <w:rPr>
                      <w:rFonts w:ascii="Cambria Math" w:hAnsi="Cambria Math" w:cs="Calibri"/>
                      <w:lang w:val="en-US"/>
                    </w:rPr>
                    <m:t>1</m:t>
                  </m:r>
                </m:num>
                <m:den>
                  <m:d>
                    <m:dPr>
                      <m:ctrlPr>
                        <w:rPr>
                          <w:rFonts w:ascii="Cambria Math" w:hAnsi="Cambria Math" w:cs="Calibri"/>
                          <w:i/>
                          <w:lang w:val="en-US"/>
                        </w:rPr>
                      </m:ctrlPr>
                    </m:dPr>
                    <m:e>
                      <m:r>
                        <w:rPr>
                          <w:rFonts w:ascii="Cambria Math" w:hAnsi="Cambria Math" w:cs="Calibri"/>
                          <w:lang w:val="en-US"/>
                        </w:rPr>
                        <m:t>1-0.4</m:t>
                      </m:r>
                    </m:e>
                  </m:d>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0.4</m:t>
                      </m:r>
                    </m:num>
                    <m:den>
                      <m:r>
                        <w:rPr>
                          <w:rFonts w:ascii="Cambria Math" w:hAnsi="Cambria Math" w:cs="Calibri"/>
                          <w:lang w:val="en-US"/>
                        </w:rPr>
                        <m:t>10</m:t>
                      </m:r>
                    </m:den>
                  </m:f>
                </m:den>
              </m:f>
            </m:oMath>
            <w:r>
              <w:rPr>
                <w:rFonts w:eastAsiaTheme="minorEastAsia" w:cs="Calibri"/>
                <w:lang w:val="en-US"/>
              </w:rPr>
              <w:t>= 1.56</w:t>
            </w:r>
          </w:p>
        </w:tc>
      </w:tr>
      <w:tr w:rsidR="00CB7E0F" w:rsidTr="00CB7E0F">
        <w:trPr>
          <w:trHeight w:val="3590"/>
        </w:trPr>
        <w:tc>
          <w:tcPr>
            <w:tcW w:w="817" w:type="dxa"/>
          </w:tcPr>
          <w:p w:rsidR="00CB7E0F" w:rsidRDefault="00CB7E0F" w:rsidP="00D76FFF">
            <w:r>
              <w:t>6.</w:t>
            </w:r>
          </w:p>
        </w:tc>
        <w:tc>
          <w:tcPr>
            <w:tcW w:w="8709" w:type="dxa"/>
          </w:tcPr>
          <w:p w:rsidR="00CB7E0F" w:rsidRDefault="00CB7E0F" w:rsidP="00B73370">
            <w:pPr>
              <w:autoSpaceDE w:val="0"/>
              <w:autoSpaceDN w:val="0"/>
              <w:adjustRightInd w:val="0"/>
              <w:jc w:val="both"/>
            </w:pPr>
            <w:r>
              <w:object w:dxaOrig="9975" w:dyaOrig="8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78.15pt" o:ole="">
                  <v:imagedata r:id="rId10" o:title=""/>
                </v:shape>
                <o:OLEObject Type="Embed" ProgID="PBrush" ShapeID="_x0000_i1025" DrawAspect="Content" ObjectID="_1733581202" r:id="rId11"/>
              </w:object>
            </w:r>
          </w:p>
          <w:p w:rsidR="00CB7E0F" w:rsidRPr="00B73370" w:rsidRDefault="00CB7E0F" w:rsidP="00B73370">
            <w:pPr>
              <w:autoSpaceDE w:val="0"/>
              <w:autoSpaceDN w:val="0"/>
              <w:adjustRightInd w:val="0"/>
              <w:jc w:val="both"/>
              <w:rPr>
                <w:rFonts w:cs="Calibri"/>
                <w:lang w:val="en-US"/>
              </w:rPr>
            </w:pPr>
            <w:r>
              <w:object w:dxaOrig="9600" w:dyaOrig="3840">
                <v:shape id="_x0000_i1026" type="#_x0000_t75" style="width:424.5pt;height:169.65pt" o:ole="">
                  <v:imagedata r:id="rId12" o:title=""/>
                </v:shape>
                <o:OLEObject Type="Embed" ProgID="PBrush" ShapeID="_x0000_i1026" DrawAspect="Content" ObjectID="_1733581203" r:id="rId13"/>
              </w:object>
            </w:r>
          </w:p>
        </w:tc>
      </w:tr>
    </w:tbl>
    <w:p w:rsidR="00D47BC5" w:rsidRDefault="00CB7E0F"/>
    <w:p w:rsidR="00F94F0C" w:rsidRDefault="00F94F0C"/>
    <w:tbl>
      <w:tblPr>
        <w:tblW w:w="0" w:type="auto"/>
        <w:jc w:val="center"/>
        <w:tblInd w:w="7" w:type="dxa"/>
        <w:tblLayout w:type="fixed"/>
        <w:tblCellMar>
          <w:left w:w="0" w:type="dxa"/>
          <w:right w:w="0" w:type="dxa"/>
        </w:tblCellMar>
        <w:tblLook w:val="01E0" w:firstRow="1" w:lastRow="1" w:firstColumn="1" w:lastColumn="1" w:noHBand="0" w:noVBand="0"/>
      </w:tblPr>
      <w:tblGrid>
        <w:gridCol w:w="2014"/>
        <w:gridCol w:w="1416"/>
        <w:gridCol w:w="1560"/>
      </w:tblGrid>
      <w:tr w:rsidR="00F94F0C" w:rsidTr="00446ABD">
        <w:trPr>
          <w:trHeight w:val="547"/>
          <w:jc w:val="center"/>
        </w:trPr>
        <w:tc>
          <w:tcPr>
            <w:tcW w:w="2014" w:type="dxa"/>
          </w:tcPr>
          <w:p w:rsidR="00F94F0C" w:rsidRDefault="00F94F0C" w:rsidP="00446ABD">
            <w:pPr>
              <w:pStyle w:val="TableParagraph"/>
              <w:rPr>
                <w:rFonts w:ascii="Times New Roman"/>
                <w:sz w:val="20"/>
              </w:rPr>
            </w:pPr>
          </w:p>
        </w:tc>
        <w:tc>
          <w:tcPr>
            <w:tcW w:w="1416" w:type="dxa"/>
          </w:tcPr>
          <w:p w:rsidR="00F94F0C" w:rsidRDefault="00F94F0C" w:rsidP="00446ABD">
            <w:pPr>
              <w:pStyle w:val="TableParagraph"/>
              <w:rPr>
                <w:rFonts w:ascii="Times New Roman"/>
                <w:sz w:val="20"/>
              </w:rPr>
            </w:pPr>
          </w:p>
        </w:tc>
        <w:tc>
          <w:tcPr>
            <w:tcW w:w="1560" w:type="dxa"/>
          </w:tcPr>
          <w:p w:rsidR="00F94F0C" w:rsidRDefault="00F94F0C" w:rsidP="00446ABD">
            <w:pPr>
              <w:pStyle w:val="TableParagraph"/>
              <w:rPr>
                <w:rFonts w:ascii="Times New Roman"/>
                <w:sz w:val="20"/>
              </w:rPr>
            </w:pPr>
          </w:p>
        </w:tc>
        <w:bookmarkStart w:id="0" w:name="_GoBack"/>
        <w:bookmarkEnd w:id="0"/>
      </w:tr>
      <w:tr w:rsidR="00F94F0C" w:rsidTr="00446ABD">
        <w:trPr>
          <w:trHeight w:val="278"/>
          <w:jc w:val="center"/>
        </w:trPr>
        <w:tc>
          <w:tcPr>
            <w:tcW w:w="2014" w:type="dxa"/>
          </w:tcPr>
          <w:p w:rsidR="00F94F0C" w:rsidRDefault="00F94F0C" w:rsidP="00446ABD">
            <w:pPr>
              <w:pStyle w:val="TableParagraph"/>
              <w:rPr>
                <w:rFonts w:ascii="Times New Roman"/>
                <w:sz w:val="20"/>
              </w:rPr>
            </w:pPr>
          </w:p>
        </w:tc>
        <w:tc>
          <w:tcPr>
            <w:tcW w:w="1416" w:type="dxa"/>
          </w:tcPr>
          <w:p w:rsidR="00F94F0C" w:rsidRDefault="00F94F0C" w:rsidP="00446ABD">
            <w:pPr>
              <w:pStyle w:val="TableParagraph"/>
              <w:rPr>
                <w:rFonts w:ascii="Times New Roman"/>
                <w:sz w:val="20"/>
              </w:rPr>
            </w:pPr>
          </w:p>
        </w:tc>
        <w:tc>
          <w:tcPr>
            <w:tcW w:w="1560" w:type="dxa"/>
          </w:tcPr>
          <w:p w:rsidR="00F94F0C" w:rsidRDefault="00F94F0C" w:rsidP="00446ABD">
            <w:pPr>
              <w:pStyle w:val="TableParagraph"/>
              <w:rPr>
                <w:rFonts w:ascii="Times New Roman"/>
                <w:sz w:val="20"/>
              </w:rPr>
            </w:pPr>
          </w:p>
        </w:tc>
      </w:tr>
      <w:tr w:rsidR="00F94F0C" w:rsidTr="00446ABD">
        <w:trPr>
          <w:trHeight w:val="278"/>
          <w:jc w:val="center"/>
        </w:trPr>
        <w:tc>
          <w:tcPr>
            <w:tcW w:w="2014" w:type="dxa"/>
          </w:tcPr>
          <w:p w:rsidR="00F94F0C" w:rsidRDefault="00F94F0C" w:rsidP="00446ABD">
            <w:pPr>
              <w:pStyle w:val="TableParagraph"/>
              <w:rPr>
                <w:rFonts w:ascii="Times New Roman"/>
                <w:sz w:val="20"/>
              </w:rPr>
            </w:pPr>
          </w:p>
        </w:tc>
        <w:tc>
          <w:tcPr>
            <w:tcW w:w="1416" w:type="dxa"/>
          </w:tcPr>
          <w:p w:rsidR="00F94F0C" w:rsidRDefault="00F94F0C" w:rsidP="00446ABD">
            <w:pPr>
              <w:pStyle w:val="TableParagraph"/>
              <w:rPr>
                <w:rFonts w:ascii="Times New Roman"/>
                <w:sz w:val="20"/>
              </w:rPr>
            </w:pPr>
          </w:p>
        </w:tc>
        <w:tc>
          <w:tcPr>
            <w:tcW w:w="1560" w:type="dxa"/>
          </w:tcPr>
          <w:p w:rsidR="00F94F0C" w:rsidRDefault="00F94F0C" w:rsidP="00446ABD">
            <w:pPr>
              <w:pStyle w:val="TableParagraph"/>
              <w:rPr>
                <w:rFonts w:ascii="Times New Roman"/>
                <w:sz w:val="20"/>
              </w:rPr>
            </w:pPr>
          </w:p>
        </w:tc>
      </w:tr>
      <w:tr w:rsidR="00F94F0C" w:rsidTr="00446ABD">
        <w:trPr>
          <w:trHeight w:val="278"/>
          <w:jc w:val="center"/>
        </w:trPr>
        <w:tc>
          <w:tcPr>
            <w:tcW w:w="2014" w:type="dxa"/>
          </w:tcPr>
          <w:p w:rsidR="00F94F0C" w:rsidRDefault="00F94F0C" w:rsidP="00446ABD">
            <w:pPr>
              <w:pStyle w:val="TableParagraph"/>
              <w:rPr>
                <w:rFonts w:ascii="Times New Roman"/>
                <w:sz w:val="20"/>
              </w:rPr>
            </w:pPr>
          </w:p>
        </w:tc>
        <w:tc>
          <w:tcPr>
            <w:tcW w:w="1416" w:type="dxa"/>
          </w:tcPr>
          <w:p w:rsidR="00F94F0C" w:rsidRDefault="00F94F0C" w:rsidP="00446ABD">
            <w:pPr>
              <w:pStyle w:val="TableParagraph"/>
              <w:rPr>
                <w:rFonts w:ascii="Times New Roman"/>
                <w:sz w:val="20"/>
              </w:rPr>
            </w:pPr>
          </w:p>
        </w:tc>
        <w:tc>
          <w:tcPr>
            <w:tcW w:w="1560" w:type="dxa"/>
          </w:tcPr>
          <w:p w:rsidR="00F94F0C" w:rsidRDefault="00F94F0C" w:rsidP="00446ABD">
            <w:pPr>
              <w:pStyle w:val="TableParagraph"/>
              <w:rPr>
                <w:rFonts w:ascii="Times New Roman"/>
                <w:sz w:val="20"/>
              </w:rPr>
            </w:pPr>
          </w:p>
        </w:tc>
      </w:tr>
      <w:tr w:rsidR="00F94F0C" w:rsidTr="00446ABD">
        <w:trPr>
          <w:trHeight w:val="278"/>
          <w:jc w:val="center"/>
        </w:trPr>
        <w:tc>
          <w:tcPr>
            <w:tcW w:w="2014" w:type="dxa"/>
          </w:tcPr>
          <w:p w:rsidR="00F94F0C" w:rsidRDefault="00F94F0C" w:rsidP="00446ABD">
            <w:pPr>
              <w:pStyle w:val="TableParagraph"/>
              <w:rPr>
                <w:rFonts w:ascii="Times New Roman"/>
                <w:sz w:val="20"/>
              </w:rPr>
            </w:pPr>
          </w:p>
        </w:tc>
        <w:tc>
          <w:tcPr>
            <w:tcW w:w="1416" w:type="dxa"/>
          </w:tcPr>
          <w:p w:rsidR="00F94F0C" w:rsidRDefault="00F94F0C" w:rsidP="00446ABD">
            <w:pPr>
              <w:pStyle w:val="TableParagraph"/>
              <w:rPr>
                <w:rFonts w:ascii="Times New Roman"/>
                <w:sz w:val="20"/>
              </w:rPr>
            </w:pPr>
          </w:p>
        </w:tc>
        <w:tc>
          <w:tcPr>
            <w:tcW w:w="1560" w:type="dxa"/>
          </w:tcPr>
          <w:p w:rsidR="00F94F0C" w:rsidRDefault="00F94F0C" w:rsidP="00446ABD">
            <w:pPr>
              <w:pStyle w:val="TableParagraph"/>
              <w:rPr>
                <w:rFonts w:ascii="Times New Roman"/>
                <w:sz w:val="20"/>
              </w:rPr>
            </w:pPr>
          </w:p>
        </w:tc>
      </w:tr>
    </w:tbl>
    <w:p w:rsidR="00F94F0C" w:rsidRDefault="00F94F0C"/>
    <w:sectPr w:rsidR="00F9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D14A0"/>
    <w:multiLevelType w:val="hybridMultilevel"/>
    <w:tmpl w:val="84BCB070"/>
    <w:lvl w:ilvl="0" w:tplc="B71C2F72">
      <w:start w:val="1"/>
      <w:numFmt w:val="lowerLetter"/>
      <w:lvlText w:val="%1."/>
      <w:lvlJc w:val="left"/>
      <w:pPr>
        <w:ind w:left="827" w:hanging="360"/>
      </w:pPr>
      <w:rPr>
        <w:rFonts w:hint="default"/>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1">
    <w:nsid w:val="109D7824"/>
    <w:multiLevelType w:val="hybridMultilevel"/>
    <w:tmpl w:val="8E56DCAE"/>
    <w:lvl w:ilvl="0" w:tplc="A8A088B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97129BF"/>
    <w:multiLevelType w:val="hybridMultilevel"/>
    <w:tmpl w:val="7E9EEA1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9E60F5"/>
    <w:multiLevelType w:val="hybridMultilevel"/>
    <w:tmpl w:val="DFFC8B4C"/>
    <w:lvl w:ilvl="0" w:tplc="83E431BE">
      <w:start w:val="1"/>
      <w:numFmt w:val="lowerLetter"/>
      <w:lvlText w:val="%1."/>
      <w:lvlJc w:val="left"/>
      <w:pPr>
        <w:ind w:left="309" w:hanging="202"/>
        <w:jc w:val="left"/>
      </w:pPr>
      <w:rPr>
        <w:rFonts w:ascii="Arial" w:eastAsia="Arial" w:hAnsi="Arial" w:cs="Arial" w:hint="default"/>
        <w:b/>
        <w:bCs/>
        <w:color w:val="808080"/>
        <w:w w:val="99"/>
        <w:sz w:val="18"/>
        <w:szCs w:val="18"/>
        <w:lang w:val="en-US" w:eastAsia="en-US" w:bidi="ar-SA"/>
      </w:rPr>
    </w:lvl>
    <w:lvl w:ilvl="1" w:tplc="997823B4">
      <w:numFmt w:val="bullet"/>
      <w:lvlText w:val="•"/>
      <w:lvlJc w:val="left"/>
      <w:pPr>
        <w:ind w:left="1173" w:hanging="202"/>
      </w:pPr>
      <w:rPr>
        <w:rFonts w:hint="default"/>
        <w:lang w:val="en-US" w:eastAsia="en-US" w:bidi="ar-SA"/>
      </w:rPr>
    </w:lvl>
    <w:lvl w:ilvl="2" w:tplc="07A6B5F0">
      <w:numFmt w:val="bullet"/>
      <w:lvlText w:val="•"/>
      <w:lvlJc w:val="left"/>
      <w:pPr>
        <w:ind w:left="2046" w:hanging="202"/>
      </w:pPr>
      <w:rPr>
        <w:rFonts w:hint="default"/>
        <w:lang w:val="en-US" w:eastAsia="en-US" w:bidi="ar-SA"/>
      </w:rPr>
    </w:lvl>
    <w:lvl w:ilvl="3" w:tplc="636A6AB2">
      <w:numFmt w:val="bullet"/>
      <w:lvlText w:val="•"/>
      <w:lvlJc w:val="left"/>
      <w:pPr>
        <w:ind w:left="2920" w:hanging="202"/>
      </w:pPr>
      <w:rPr>
        <w:rFonts w:hint="default"/>
        <w:lang w:val="en-US" w:eastAsia="en-US" w:bidi="ar-SA"/>
      </w:rPr>
    </w:lvl>
    <w:lvl w:ilvl="4" w:tplc="99DABC6E">
      <w:numFmt w:val="bullet"/>
      <w:lvlText w:val="•"/>
      <w:lvlJc w:val="left"/>
      <w:pPr>
        <w:ind w:left="3793" w:hanging="202"/>
      </w:pPr>
      <w:rPr>
        <w:rFonts w:hint="default"/>
        <w:lang w:val="en-US" w:eastAsia="en-US" w:bidi="ar-SA"/>
      </w:rPr>
    </w:lvl>
    <w:lvl w:ilvl="5" w:tplc="42E0E274">
      <w:numFmt w:val="bullet"/>
      <w:lvlText w:val="•"/>
      <w:lvlJc w:val="left"/>
      <w:pPr>
        <w:ind w:left="4667" w:hanging="202"/>
      </w:pPr>
      <w:rPr>
        <w:rFonts w:hint="default"/>
        <w:lang w:val="en-US" w:eastAsia="en-US" w:bidi="ar-SA"/>
      </w:rPr>
    </w:lvl>
    <w:lvl w:ilvl="6" w:tplc="031E04F2">
      <w:numFmt w:val="bullet"/>
      <w:lvlText w:val="•"/>
      <w:lvlJc w:val="left"/>
      <w:pPr>
        <w:ind w:left="5540" w:hanging="202"/>
      </w:pPr>
      <w:rPr>
        <w:rFonts w:hint="default"/>
        <w:lang w:val="en-US" w:eastAsia="en-US" w:bidi="ar-SA"/>
      </w:rPr>
    </w:lvl>
    <w:lvl w:ilvl="7" w:tplc="073A8690">
      <w:numFmt w:val="bullet"/>
      <w:lvlText w:val="•"/>
      <w:lvlJc w:val="left"/>
      <w:pPr>
        <w:ind w:left="6413" w:hanging="202"/>
      </w:pPr>
      <w:rPr>
        <w:rFonts w:hint="default"/>
        <w:lang w:val="en-US" w:eastAsia="en-US" w:bidi="ar-SA"/>
      </w:rPr>
    </w:lvl>
    <w:lvl w:ilvl="8" w:tplc="C7FA40A4">
      <w:numFmt w:val="bullet"/>
      <w:lvlText w:val="•"/>
      <w:lvlJc w:val="left"/>
      <w:pPr>
        <w:ind w:left="7287" w:hanging="202"/>
      </w:pPr>
      <w:rPr>
        <w:rFonts w:hint="default"/>
        <w:lang w:val="en-US" w:eastAsia="en-US" w:bidi="ar-SA"/>
      </w:rPr>
    </w:lvl>
  </w:abstractNum>
  <w:abstractNum w:abstractNumId="4">
    <w:nsid w:val="36534BC7"/>
    <w:multiLevelType w:val="hybridMultilevel"/>
    <w:tmpl w:val="B4824FD6"/>
    <w:lvl w:ilvl="0" w:tplc="5E78AF5C">
      <w:start w:val="1"/>
      <w:numFmt w:val="lowerRoman"/>
      <w:lvlText w:val="(%1)"/>
      <w:lvlJc w:val="left"/>
      <w:pPr>
        <w:ind w:left="640" w:hanging="281"/>
        <w:jc w:val="left"/>
      </w:pPr>
      <w:rPr>
        <w:rFonts w:ascii="Calibri" w:eastAsia="Calibri" w:hAnsi="Calibri" w:cs="Calibri" w:hint="default"/>
        <w:spacing w:val="-1"/>
        <w:w w:val="100"/>
        <w:sz w:val="22"/>
        <w:szCs w:val="22"/>
        <w:lang w:val="en-US" w:eastAsia="en-US" w:bidi="ar-SA"/>
      </w:rPr>
    </w:lvl>
    <w:lvl w:ilvl="1" w:tplc="E8B4001A">
      <w:numFmt w:val="bullet"/>
      <w:lvlText w:val="•"/>
      <w:lvlJc w:val="left"/>
      <w:pPr>
        <w:ind w:left="1479" w:hanging="281"/>
      </w:pPr>
      <w:rPr>
        <w:rFonts w:hint="default"/>
        <w:lang w:val="en-US" w:eastAsia="en-US" w:bidi="ar-SA"/>
      </w:rPr>
    </w:lvl>
    <w:lvl w:ilvl="2" w:tplc="2BB06E42">
      <w:numFmt w:val="bullet"/>
      <w:lvlText w:val="•"/>
      <w:lvlJc w:val="left"/>
      <w:pPr>
        <w:ind w:left="2319" w:hanging="281"/>
      </w:pPr>
      <w:rPr>
        <w:rFonts w:hint="default"/>
        <w:lang w:val="en-US" w:eastAsia="en-US" w:bidi="ar-SA"/>
      </w:rPr>
    </w:lvl>
    <w:lvl w:ilvl="3" w:tplc="69C893B4">
      <w:numFmt w:val="bullet"/>
      <w:lvlText w:val="•"/>
      <w:lvlJc w:val="left"/>
      <w:pPr>
        <w:ind w:left="3158" w:hanging="281"/>
      </w:pPr>
      <w:rPr>
        <w:rFonts w:hint="default"/>
        <w:lang w:val="en-US" w:eastAsia="en-US" w:bidi="ar-SA"/>
      </w:rPr>
    </w:lvl>
    <w:lvl w:ilvl="4" w:tplc="D128965A">
      <w:numFmt w:val="bullet"/>
      <w:lvlText w:val="•"/>
      <w:lvlJc w:val="left"/>
      <w:pPr>
        <w:ind w:left="3998" w:hanging="281"/>
      </w:pPr>
      <w:rPr>
        <w:rFonts w:hint="default"/>
        <w:lang w:val="en-US" w:eastAsia="en-US" w:bidi="ar-SA"/>
      </w:rPr>
    </w:lvl>
    <w:lvl w:ilvl="5" w:tplc="5FDA859C">
      <w:numFmt w:val="bullet"/>
      <w:lvlText w:val="•"/>
      <w:lvlJc w:val="left"/>
      <w:pPr>
        <w:ind w:left="4837" w:hanging="281"/>
      </w:pPr>
      <w:rPr>
        <w:rFonts w:hint="default"/>
        <w:lang w:val="en-US" w:eastAsia="en-US" w:bidi="ar-SA"/>
      </w:rPr>
    </w:lvl>
    <w:lvl w:ilvl="6" w:tplc="39C00722">
      <w:numFmt w:val="bullet"/>
      <w:lvlText w:val="•"/>
      <w:lvlJc w:val="left"/>
      <w:pPr>
        <w:ind w:left="5677" w:hanging="281"/>
      </w:pPr>
      <w:rPr>
        <w:rFonts w:hint="default"/>
        <w:lang w:val="en-US" w:eastAsia="en-US" w:bidi="ar-SA"/>
      </w:rPr>
    </w:lvl>
    <w:lvl w:ilvl="7" w:tplc="FA485722">
      <w:numFmt w:val="bullet"/>
      <w:lvlText w:val="•"/>
      <w:lvlJc w:val="left"/>
      <w:pPr>
        <w:ind w:left="6516" w:hanging="281"/>
      </w:pPr>
      <w:rPr>
        <w:rFonts w:hint="default"/>
        <w:lang w:val="en-US" w:eastAsia="en-US" w:bidi="ar-SA"/>
      </w:rPr>
    </w:lvl>
    <w:lvl w:ilvl="8" w:tplc="0590D522">
      <w:numFmt w:val="bullet"/>
      <w:lvlText w:val="•"/>
      <w:lvlJc w:val="left"/>
      <w:pPr>
        <w:ind w:left="7356" w:hanging="281"/>
      </w:pPr>
      <w:rPr>
        <w:rFonts w:hint="default"/>
        <w:lang w:val="en-US" w:eastAsia="en-US" w:bidi="ar-SA"/>
      </w:rPr>
    </w:lvl>
  </w:abstractNum>
  <w:abstractNum w:abstractNumId="5">
    <w:nsid w:val="36C034A6"/>
    <w:multiLevelType w:val="hybridMultilevel"/>
    <w:tmpl w:val="125C93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233F97"/>
    <w:multiLevelType w:val="hybridMultilevel"/>
    <w:tmpl w:val="850A3A24"/>
    <w:lvl w:ilvl="0" w:tplc="D7EAC042">
      <w:start w:val="1"/>
      <w:numFmt w:val="lowerLetter"/>
      <w:lvlText w:val="%1."/>
      <w:lvlJc w:val="left"/>
      <w:pPr>
        <w:ind w:left="827" w:hanging="360"/>
        <w:jc w:val="left"/>
      </w:pPr>
      <w:rPr>
        <w:rFonts w:ascii="Arial" w:eastAsia="Arial" w:hAnsi="Arial" w:cs="Arial" w:hint="default"/>
        <w:b/>
        <w:bCs/>
        <w:color w:val="808080"/>
        <w:spacing w:val="-1"/>
        <w:w w:val="100"/>
        <w:sz w:val="22"/>
        <w:szCs w:val="22"/>
        <w:lang w:val="en-US" w:eastAsia="en-US" w:bidi="ar-SA"/>
      </w:rPr>
    </w:lvl>
    <w:lvl w:ilvl="1" w:tplc="2AAC4E56">
      <w:numFmt w:val="bullet"/>
      <w:lvlText w:val="•"/>
      <w:lvlJc w:val="left"/>
      <w:pPr>
        <w:ind w:left="1641" w:hanging="360"/>
      </w:pPr>
      <w:rPr>
        <w:rFonts w:hint="default"/>
        <w:lang w:val="en-US" w:eastAsia="en-US" w:bidi="ar-SA"/>
      </w:rPr>
    </w:lvl>
    <w:lvl w:ilvl="2" w:tplc="8D5228A8">
      <w:numFmt w:val="bullet"/>
      <w:lvlText w:val="•"/>
      <w:lvlJc w:val="left"/>
      <w:pPr>
        <w:ind w:left="2462" w:hanging="360"/>
      </w:pPr>
      <w:rPr>
        <w:rFonts w:hint="default"/>
        <w:lang w:val="en-US" w:eastAsia="en-US" w:bidi="ar-SA"/>
      </w:rPr>
    </w:lvl>
    <w:lvl w:ilvl="3" w:tplc="21307290">
      <w:numFmt w:val="bullet"/>
      <w:lvlText w:val="•"/>
      <w:lvlJc w:val="left"/>
      <w:pPr>
        <w:ind w:left="3284" w:hanging="360"/>
      </w:pPr>
      <w:rPr>
        <w:rFonts w:hint="default"/>
        <w:lang w:val="en-US" w:eastAsia="en-US" w:bidi="ar-SA"/>
      </w:rPr>
    </w:lvl>
    <w:lvl w:ilvl="4" w:tplc="8B8AB8DE">
      <w:numFmt w:val="bullet"/>
      <w:lvlText w:val="•"/>
      <w:lvlJc w:val="left"/>
      <w:pPr>
        <w:ind w:left="4105" w:hanging="360"/>
      </w:pPr>
      <w:rPr>
        <w:rFonts w:hint="default"/>
        <w:lang w:val="en-US" w:eastAsia="en-US" w:bidi="ar-SA"/>
      </w:rPr>
    </w:lvl>
    <w:lvl w:ilvl="5" w:tplc="A9F249C6">
      <w:numFmt w:val="bullet"/>
      <w:lvlText w:val="•"/>
      <w:lvlJc w:val="left"/>
      <w:pPr>
        <w:ind w:left="4927" w:hanging="360"/>
      </w:pPr>
      <w:rPr>
        <w:rFonts w:hint="default"/>
        <w:lang w:val="en-US" w:eastAsia="en-US" w:bidi="ar-SA"/>
      </w:rPr>
    </w:lvl>
    <w:lvl w:ilvl="6" w:tplc="AA589AF4">
      <w:numFmt w:val="bullet"/>
      <w:lvlText w:val="•"/>
      <w:lvlJc w:val="left"/>
      <w:pPr>
        <w:ind w:left="5748" w:hanging="360"/>
      </w:pPr>
      <w:rPr>
        <w:rFonts w:hint="default"/>
        <w:lang w:val="en-US" w:eastAsia="en-US" w:bidi="ar-SA"/>
      </w:rPr>
    </w:lvl>
    <w:lvl w:ilvl="7" w:tplc="0D585E40">
      <w:numFmt w:val="bullet"/>
      <w:lvlText w:val="•"/>
      <w:lvlJc w:val="left"/>
      <w:pPr>
        <w:ind w:left="6569" w:hanging="360"/>
      </w:pPr>
      <w:rPr>
        <w:rFonts w:hint="default"/>
        <w:lang w:val="en-US" w:eastAsia="en-US" w:bidi="ar-SA"/>
      </w:rPr>
    </w:lvl>
    <w:lvl w:ilvl="8" w:tplc="1124EA34">
      <w:numFmt w:val="bullet"/>
      <w:lvlText w:val="•"/>
      <w:lvlJc w:val="left"/>
      <w:pPr>
        <w:ind w:left="7391" w:hanging="360"/>
      </w:pPr>
      <w:rPr>
        <w:rFonts w:hint="default"/>
        <w:lang w:val="en-US" w:eastAsia="en-US" w:bidi="ar-SA"/>
      </w:rPr>
    </w:lvl>
  </w:abstractNum>
  <w:abstractNum w:abstractNumId="7">
    <w:nsid w:val="506F66D4"/>
    <w:multiLevelType w:val="hybridMultilevel"/>
    <w:tmpl w:val="5702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DFA2F34"/>
    <w:multiLevelType w:val="hybridMultilevel"/>
    <w:tmpl w:val="A83CA2BA"/>
    <w:lvl w:ilvl="0" w:tplc="5D7A91A2">
      <w:start w:val="1"/>
      <w:numFmt w:val="lowerLetter"/>
      <w:lvlText w:val="%1."/>
      <w:lvlJc w:val="left"/>
      <w:pPr>
        <w:ind w:left="1547" w:hanging="360"/>
      </w:pPr>
      <w:rPr>
        <w:rFonts w:asciiTheme="minorHAnsi" w:eastAsia="Arial" w:hAnsiTheme="minorHAnsi" w:cs="Arial" w:hint="default"/>
        <w:b/>
        <w:bCs/>
        <w:color w:val="808080"/>
        <w:spacing w:val="-1"/>
        <w:w w:val="100"/>
        <w:sz w:val="22"/>
        <w:szCs w:val="22"/>
        <w:lang w:val="en-US" w:eastAsia="en-US" w:bidi="ar-SA"/>
      </w:rPr>
    </w:lvl>
    <w:lvl w:ilvl="1" w:tplc="40090019" w:tentative="1">
      <w:start w:val="1"/>
      <w:numFmt w:val="lowerLetter"/>
      <w:lvlText w:val="%2."/>
      <w:lvlJc w:val="left"/>
      <w:pPr>
        <w:ind w:left="2267" w:hanging="360"/>
      </w:pPr>
    </w:lvl>
    <w:lvl w:ilvl="2" w:tplc="4009001B" w:tentative="1">
      <w:start w:val="1"/>
      <w:numFmt w:val="lowerRoman"/>
      <w:lvlText w:val="%3."/>
      <w:lvlJc w:val="right"/>
      <w:pPr>
        <w:ind w:left="2987" w:hanging="180"/>
      </w:pPr>
    </w:lvl>
    <w:lvl w:ilvl="3" w:tplc="4009000F" w:tentative="1">
      <w:start w:val="1"/>
      <w:numFmt w:val="decimal"/>
      <w:lvlText w:val="%4."/>
      <w:lvlJc w:val="left"/>
      <w:pPr>
        <w:ind w:left="3707" w:hanging="360"/>
      </w:pPr>
    </w:lvl>
    <w:lvl w:ilvl="4" w:tplc="40090019" w:tentative="1">
      <w:start w:val="1"/>
      <w:numFmt w:val="lowerLetter"/>
      <w:lvlText w:val="%5."/>
      <w:lvlJc w:val="left"/>
      <w:pPr>
        <w:ind w:left="4427" w:hanging="360"/>
      </w:pPr>
    </w:lvl>
    <w:lvl w:ilvl="5" w:tplc="4009001B" w:tentative="1">
      <w:start w:val="1"/>
      <w:numFmt w:val="lowerRoman"/>
      <w:lvlText w:val="%6."/>
      <w:lvlJc w:val="right"/>
      <w:pPr>
        <w:ind w:left="5147" w:hanging="180"/>
      </w:pPr>
    </w:lvl>
    <w:lvl w:ilvl="6" w:tplc="4009000F" w:tentative="1">
      <w:start w:val="1"/>
      <w:numFmt w:val="decimal"/>
      <w:lvlText w:val="%7."/>
      <w:lvlJc w:val="left"/>
      <w:pPr>
        <w:ind w:left="5867" w:hanging="360"/>
      </w:pPr>
    </w:lvl>
    <w:lvl w:ilvl="7" w:tplc="40090019" w:tentative="1">
      <w:start w:val="1"/>
      <w:numFmt w:val="lowerLetter"/>
      <w:lvlText w:val="%8."/>
      <w:lvlJc w:val="left"/>
      <w:pPr>
        <w:ind w:left="6587" w:hanging="360"/>
      </w:pPr>
    </w:lvl>
    <w:lvl w:ilvl="8" w:tplc="4009001B" w:tentative="1">
      <w:start w:val="1"/>
      <w:numFmt w:val="lowerRoman"/>
      <w:lvlText w:val="%9."/>
      <w:lvlJc w:val="right"/>
      <w:pPr>
        <w:ind w:left="7307" w:hanging="180"/>
      </w:pPr>
    </w:lvl>
  </w:abstractNum>
  <w:num w:numId="1">
    <w:abstractNumId w:val="1"/>
  </w:num>
  <w:num w:numId="2">
    <w:abstractNumId w:val="4"/>
  </w:num>
  <w:num w:numId="3">
    <w:abstractNumId w:val="7"/>
  </w:num>
  <w:num w:numId="4">
    <w:abstractNumId w:val="6"/>
  </w:num>
  <w:num w:numId="5">
    <w:abstractNumId w:val="8"/>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000"/>
    <w:rsid w:val="00020A50"/>
    <w:rsid w:val="00031658"/>
    <w:rsid w:val="00035333"/>
    <w:rsid w:val="00101C15"/>
    <w:rsid w:val="001F588D"/>
    <w:rsid w:val="002034BB"/>
    <w:rsid w:val="00292D5F"/>
    <w:rsid w:val="00441B66"/>
    <w:rsid w:val="004B46CC"/>
    <w:rsid w:val="005631F6"/>
    <w:rsid w:val="005E0699"/>
    <w:rsid w:val="00603E08"/>
    <w:rsid w:val="00686084"/>
    <w:rsid w:val="006B7638"/>
    <w:rsid w:val="007C3235"/>
    <w:rsid w:val="007F1EAE"/>
    <w:rsid w:val="008C5FD4"/>
    <w:rsid w:val="008D5E2D"/>
    <w:rsid w:val="008E196C"/>
    <w:rsid w:val="00925798"/>
    <w:rsid w:val="009C5F6C"/>
    <w:rsid w:val="009D00B5"/>
    <w:rsid w:val="00A253F4"/>
    <w:rsid w:val="00A358D5"/>
    <w:rsid w:val="00A46166"/>
    <w:rsid w:val="00A52CCD"/>
    <w:rsid w:val="00AB2604"/>
    <w:rsid w:val="00AE1C89"/>
    <w:rsid w:val="00B73370"/>
    <w:rsid w:val="00B8601E"/>
    <w:rsid w:val="00C43178"/>
    <w:rsid w:val="00CA27B8"/>
    <w:rsid w:val="00CB7E0F"/>
    <w:rsid w:val="00D42000"/>
    <w:rsid w:val="00D566C0"/>
    <w:rsid w:val="00D76FFF"/>
    <w:rsid w:val="00DB07B8"/>
    <w:rsid w:val="00E00C49"/>
    <w:rsid w:val="00EE7266"/>
    <w:rsid w:val="00F548D9"/>
    <w:rsid w:val="00F94F0C"/>
    <w:rsid w:val="00FA27EC"/>
    <w:rsid w:val="00FF4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D76FFF"/>
    <w:pPr>
      <w:ind w:left="720"/>
      <w:contextualSpacing/>
    </w:pPr>
  </w:style>
  <w:style w:type="paragraph" w:customStyle="1" w:styleId="TableParagraph">
    <w:name w:val="Table Paragraph"/>
    <w:basedOn w:val="Normal"/>
    <w:uiPriority w:val="1"/>
    <w:qFormat/>
    <w:rsid w:val="00F94F0C"/>
    <w:pPr>
      <w:widowControl w:val="0"/>
      <w:autoSpaceDE w:val="0"/>
      <w:autoSpaceDN w:val="0"/>
      <w:spacing w:after="0" w:line="240" w:lineRule="auto"/>
    </w:pPr>
    <w:rPr>
      <w:rFonts w:ascii="Calibri" w:eastAsia="Calibri" w:hAnsi="Calibri" w:cs="Calibri"/>
      <w:lang w:val="en-US"/>
    </w:rPr>
  </w:style>
  <w:style w:type="paragraph" w:styleId="BalloonText">
    <w:name w:val="Balloon Text"/>
    <w:basedOn w:val="Normal"/>
    <w:link w:val="BalloonTextChar"/>
    <w:uiPriority w:val="99"/>
    <w:semiHidden/>
    <w:unhideWhenUsed/>
    <w:rsid w:val="004B4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6CC"/>
    <w:rPr>
      <w:rFonts w:ascii="Tahoma" w:hAnsi="Tahoma" w:cs="Tahoma"/>
      <w:sz w:val="16"/>
      <w:szCs w:val="16"/>
    </w:rPr>
  </w:style>
  <w:style w:type="character" w:styleId="PlaceholderText">
    <w:name w:val="Placeholder Text"/>
    <w:basedOn w:val="DefaultParagraphFont"/>
    <w:uiPriority w:val="99"/>
    <w:semiHidden/>
    <w:rsid w:val="00B733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D76FFF"/>
    <w:pPr>
      <w:ind w:left="720"/>
      <w:contextualSpacing/>
    </w:pPr>
  </w:style>
  <w:style w:type="paragraph" w:customStyle="1" w:styleId="TableParagraph">
    <w:name w:val="Table Paragraph"/>
    <w:basedOn w:val="Normal"/>
    <w:uiPriority w:val="1"/>
    <w:qFormat/>
    <w:rsid w:val="00F94F0C"/>
    <w:pPr>
      <w:widowControl w:val="0"/>
      <w:autoSpaceDE w:val="0"/>
      <w:autoSpaceDN w:val="0"/>
      <w:spacing w:after="0" w:line="240" w:lineRule="auto"/>
    </w:pPr>
    <w:rPr>
      <w:rFonts w:ascii="Calibri" w:eastAsia="Calibri" w:hAnsi="Calibri" w:cs="Calibri"/>
      <w:lang w:val="en-US"/>
    </w:rPr>
  </w:style>
  <w:style w:type="paragraph" w:styleId="BalloonText">
    <w:name w:val="Balloon Text"/>
    <w:basedOn w:val="Normal"/>
    <w:link w:val="BalloonTextChar"/>
    <w:uiPriority w:val="99"/>
    <w:semiHidden/>
    <w:unhideWhenUsed/>
    <w:rsid w:val="004B4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6CC"/>
    <w:rPr>
      <w:rFonts w:ascii="Tahoma" w:hAnsi="Tahoma" w:cs="Tahoma"/>
      <w:sz w:val="16"/>
      <w:szCs w:val="16"/>
    </w:rPr>
  </w:style>
  <w:style w:type="character" w:styleId="PlaceholderText">
    <w:name w:val="Placeholder Text"/>
    <w:basedOn w:val="DefaultParagraphFont"/>
    <w:uiPriority w:val="99"/>
    <w:semiHidden/>
    <w:rsid w:val="00B733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2022-12-26T11:10:00Z</dcterms:created>
  <dcterms:modified xsi:type="dcterms:W3CDTF">2022-12-26T12:04:00Z</dcterms:modified>
</cp:coreProperties>
</file>