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8" w:name="compliance-and-audit---uk-msvx-cps"/>
    <w:p>
      <w:pPr>
        <w:pStyle w:val="Heading1"/>
      </w:pPr>
      <w:r>
        <w:t xml:space="preserve">Compliance and Audit - UK MSVX CPS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Comprehensive framework for ensuring UK MSVX CPS (Chief Security Officer Shared Services Portal) access management compliance with regulatory requirements, industry standards, and internal policies through systematic auditing and continuous monitoring.</w:t>
      </w:r>
    </w:p>
    <w:bookmarkEnd w:id="20"/>
    <w:bookmarkStart w:id="25" w:name="regulatory-compliance-framework"/>
    <w:p>
      <w:pPr>
        <w:pStyle w:val="Heading2"/>
      </w:pPr>
      <w:r>
        <w:t xml:space="preserve">Regulatory Compliance Framework</w:t>
      </w:r>
    </w:p>
    <w:bookmarkStart w:id="21" w:name="Xe542f9e9bd3aad454cedd59936c5ba41a530de7"/>
    <w:p>
      <w:pPr>
        <w:pStyle w:val="Heading3"/>
      </w:pPr>
      <w:r>
        <w:t xml:space="preserve">UK Data Protection and Privacy Compliance</w:t>
      </w:r>
    </w:p>
    <w:p>
      <w:pPr>
        <w:pStyle w:val="FirstParagraph"/>
      </w:pPr>
      <w:r>
        <w:rPr>
          <w:bCs/>
          <w:b/>
        </w:rPr>
        <w:t xml:space="preserve">Requirements</w:t>
      </w:r>
      <w:r>
        <w:t xml:space="preserve">:</w:t>
      </w:r>
      <w:r>
        <w:t xml:space="preserve"> </w:t>
      </w:r>
      <w:r>
        <w:t xml:space="preserve">- Data protection by design and default</w:t>
      </w:r>
      <w:r>
        <w:t xml:space="preserve"> </w:t>
      </w:r>
      <w:r>
        <w:t xml:space="preserve">- Access controls for personal data</w:t>
      </w:r>
      <w:r>
        <w:t xml:space="preserve"> </w:t>
      </w:r>
      <w:r>
        <w:t xml:space="preserve">- Data subject rights management</w:t>
      </w:r>
      <w:r>
        <w:t xml:space="preserve"> </w:t>
      </w:r>
      <w:r>
        <w:t xml:space="preserve">- Breach notification procedures</w:t>
      </w:r>
    </w:p>
    <w:p>
      <w:pPr>
        <w:pStyle w:val="BodyText"/>
      </w:pPr>
      <w:r>
        <w:rPr>
          <w:bCs/>
          <w:b/>
        </w:rPr>
        <w:t xml:space="preserve">UK MSVX CPS Controls</w:t>
      </w:r>
      <w:r>
        <w:t xml:space="preserve">:</w:t>
      </w:r>
      <w:r>
        <w:t xml:space="preserve"> </w:t>
      </w:r>
      <w:r>
        <w:t xml:space="preserve">- Encrypted data storage (EFS, RDS, S3)</w:t>
      </w:r>
      <w:r>
        <w:t xml:space="preserve"> </w:t>
      </w:r>
      <w:r>
        <w:t xml:space="preserve">- Role-based access to CSO portal data</w:t>
      </w:r>
      <w:r>
        <w:t xml:space="preserve"> </w:t>
      </w:r>
      <w:r>
        <w:t xml:space="preserve">- Keystone identity service audit trails</w:t>
      </w:r>
      <w:r>
        <w:t xml:space="preserve"> </w:t>
      </w:r>
      <w:r>
        <w:t xml:space="preserve">- AWS CloudTrail comprehensive logging</w:t>
      </w:r>
      <w:r>
        <w:t xml:space="preserve"> </w:t>
      </w:r>
      <w:r>
        <w:t xml:space="preserve">- Automated data retention policies</w:t>
      </w:r>
    </w:p>
    <w:bookmarkEnd w:id="21"/>
    <w:bookmarkStart w:id="22" w:name="uk-government-security-classifications"/>
    <w:p>
      <w:pPr>
        <w:pStyle w:val="Heading3"/>
      </w:pPr>
      <w:r>
        <w:t xml:space="preserve">UK Government Security Classifications</w:t>
      </w:r>
    </w:p>
    <w:p>
      <w:pPr>
        <w:pStyle w:val="FirstParagraph"/>
      </w:pPr>
      <w:r>
        <w:rPr>
          <w:bCs/>
          <w:b/>
        </w:rPr>
        <w:t xml:space="preserve">Requirements</w:t>
      </w:r>
      <w:r>
        <w:t xml:space="preserve">:</w:t>
      </w:r>
      <w:r>
        <w:t xml:space="preserve"> </w:t>
      </w:r>
      <w:r>
        <w:t xml:space="preserve">- Appropriate security controls for classified data</w:t>
      </w:r>
      <w:r>
        <w:t xml:space="preserve"> </w:t>
      </w:r>
      <w:r>
        <w:t xml:space="preserve">- Personnel security clearance verification</w:t>
      </w:r>
      <w:r>
        <w:t xml:space="preserve"> </w:t>
      </w:r>
      <w:r>
        <w:t xml:space="preserve">- Secure communication channels</w:t>
      </w:r>
      <w:r>
        <w:t xml:space="preserve"> </w:t>
      </w:r>
      <w:r>
        <w:t xml:space="preserve">- Regular security assessments</w:t>
      </w:r>
    </w:p>
    <w:p>
      <w:pPr>
        <w:pStyle w:val="BodyText"/>
      </w:pPr>
      <w:r>
        <w:rPr>
          <w:bCs/>
          <w:b/>
        </w:rPr>
        <w:t xml:space="preserve">UK MSVX CPS Controls</w:t>
      </w:r>
      <w:r>
        <w:t xml:space="preserve">:</w:t>
      </w:r>
      <w:r>
        <w:t xml:space="preserve"> </w:t>
      </w:r>
      <w:r>
        <w:t xml:space="preserve">- Multi-tier authentication (Cognito + Keystone + CSO)</w:t>
      </w:r>
      <w:r>
        <w:t xml:space="preserve"> </w:t>
      </w:r>
      <w:r>
        <w:t xml:space="preserve">- Encrypted communication (SSL/TLS throughout)</w:t>
      </w:r>
      <w:r>
        <w:t xml:space="preserve"> </w:t>
      </w:r>
      <w:r>
        <w:t xml:space="preserve">- SSM Session Manager for secure administrative access</w:t>
      </w:r>
      <w:r>
        <w:t xml:space="preserve"> </w:t>
      </w:r>
      <w:r>
        <w:t xml:space="preserve">- Regular security assessments and penetration testing</w:t>
      </w:r>
    </w:p>
    <w:bookmarkEnd w:id="22"/>
    <w:bookmarkStart w:id="23" w:name="X65b4bff1e84ae2a18cf292e3eb3a0eec0041578"/>
    <w:p>
      <w:pPr>
        <w:pStyle w:val="Heading3"/>
      </w:pPr>
      <w:r>
        <w:t xml:space="preserve">ISO 27001 Information Security Management</w:t>
      </w:r>
    </w:p>
    <w:p>
      <w:pPr>
        <w:pStyle w:val="FirstParagraph"/>
      </w:pPr>
      <w:r>
        <w:rPr>
          <w:bCs/>
          <w:b/>
        </w:rPr>
        <w:t xml:space="preserve">Requirements</w:t>
      </w:r>
      <w:r>
        <w:t xml:space="preserve">:</w:t>
      </w:r>
      <w:r>
        <w:t xml:space="preserve"> </w:t>
      </w:r>
      <w:r>
        <w:t xml:space="preserve">- Information security management system (ISMS)</w:t>
      </w:r>
      <w:r>
        <w:t xml:space="preserve"> </w:t>
      </w:r>
      <w:r>
        <w:t xml:space="preserve">- Risk-based approach to security</w:t>
      </w:r>
      <w:r>
        <w:t xml:space="preserve"> </w:t>
      </w:r>
      <w:r>
        <w:t xml:space="preserve">- Continuous improvement process</w:t>
      </w:r>
      <w:r>
        <w:t xml:space="preserve"> </w:t>
      </w:r>
      <w:r>
        <w:t xml:space="preserve">- Regular management reviews</w:t>
      </w:r>
    </w:p>
    <w:p>
      <w:pPr>
        <w:pStyle w:val="BodyText"/>
      </w:pPr>
      <w:r>
        <w:rPr>
          <w:bCs/>
          <w:b/>
        </w:rPr>
        <w:t xml:space="preserve">UK MSVX CPS Controls</w:t>
      </w:r>
      <w:r>
        <w:t xml:space="preserve">:</w:t>
      </w:r>
      <w:r>
        <w:t xml:space="preserve"> </w:t>
      </w:r>
      <w:r>
        <w:t xml:space="preserve">- Documented security policies and procedures</w:t>
      </w:r>
      <w:r>
        <w:t xml:space="preserve"> </w:t>
      </w:r>
      <w:r>
        <w:t xml:space="preserve">- Risk assessment for CSO infrastructure</w:t>
      </w:r>
      <w:r>
        <w:t xml:space="preserve"> </w:t>
      </w:r>
      <w:r>
        <w:t xml:space="preserve">- Regular security reviews and updates</w:t>
      </w:r>
      <w:r>
        <w:t xml:space="preserve"> </w:t>
      </w:r>
      <w:r>
        <w:t xml:space="preserve">- Comprehensive audit logging and monitoring</w:t>
      </w:r>
    </w:p>
    <w:bookmarkEnd w:id="23"/>
    <w:bookmarkStart w:id="24" w:name="X2142d21f1d2c5dc8a7f6844d983b143d2dbf694"/>
    <w:p>
      <w:pPr>
        <w:pStyle w:val="Heading3"/>
      </w:pPr>
      <w:r>
        <w:t xml:space="preserve">UK Cyber Essentials and Cyber Essentials Plus</w:t>
      </w:r>
    </w:p>
    <w:p>
      <w:pPr>
        <w:pStyle w:val="FirstParagraph"/>
      </w:pPr>
      <w:r>
        <w:rPr>
          <w:bCs/>
          <w:b/>
        </w:rPr>
        <w:t xml:space="preserve">Requirements</w:t>
      </w:r>
      <w:r>
        <w:t xml:space="preserve">:</w:t>
      </w:r>
      <w:r>
        <w:t xml:space="preserve"> </w:t>
      </w:r>
      <w:r>
        <w:t xml:space="preserve">- Secure configuration of systems</w:t>
      </w:r>
      <w:r>
        <w:t xml:space="preserve"> </w:t>
      </w:r>
      <w:r>
        <w:t xml:space="preserve">- Boundary firewalls and internet gateways</w:t>
      </w:r>
      <w:r>
        <w:t xml:space="preserve"> </w:t>
      </w:r>
      <w:r>
        <w:t xml:space="preserve">- Access control and administrative privilege management</w:t>
      </w:r>
      <w:r>
        <w:t xml:space="preserve"> </w:t>
      </w:r>
      <w:r>
        <w:t xml:space="preserve">- Patch management</w:t>
      </w:r>
      <w:r>
        <w:t xml:space="preserve"> </w:t>
      </w:r>
      <w:r>
        <w:t xml:space="preserve">- Malware protection</w:t>
      </w:r>
    </w:p>
    <w:p>
      <w:pPr>
        <w:pStyle w:val="BodyText"/>
      </w:pPr>
      <w:r>
        <w:rPr>
          <w:bCs/>
          <w:b/>
        </w:rPr>
        <w:t xml:space="preserve">UK MSVX CPS Controls</w:t>
      </w:r>
      <w:r>
        <w:t xml:space="preserve">:</w:t>
      </w:r>
      <w:r>
        <w:t xml:space="preserve"> </w:t>
      </w:r>
      <w:r>
        <w:t xml:space="preserve">- AWS security groups and NACLs</w:t>
      </w:r>
      <w:r>
        <w:t xml:space="preserve"> </w:t>
      </w:r>
      <w:r>
        <w:t xml:space="preserve">- Application Load Balancer with SSL termination</w:t>
      </w:r>
      <w:r>
        <w:t xml:space="preserve"> </w:t>
      </w:r>
      <w:r>
        <w:t xml:space="preserve">- IAM roles and Keystone RBAC</w:t>
      </w:r>
      <w:r>
        <w:t xml:space="preserve"> </w:t>
      </w:r>
      <w:r>
        <w:t xml:space="preserve">- Automated patching via SSM Patch Manager</w:t>
      </w:r>
      <w:r>
        <w:t xml:space="preserve"> </w:t>
      </w:r>
      <w:r>
        <w:t xml:space="preserve">- AWS GuardDuty threat detection</w:t>
      </w:r>
    </w:p>
    <w:bookmarkEnd w:id="24"/>
    <w:bookmarkEnd w:id="25"/>
    <w:bookmarkStart w:id="29" w:name="industry-standards-compliance"/>
    <w:p>
      <w:pPr>
        <w:pStyle w:val="Heading2"/>
      </w:pPr>
      <w:r>
        <w:t xml:space="preserve">Industry Standards Compliance</w:t>
      </w:r>
    </w:p>
    <w:bookmarkStart w:id="26" w:name="X6d21071f4b04e9589d3569b3e903e12fe2a3c06"/>
    <w:p>
      <w:pPr>
        <w:pStyle w:val="Heading3"/>
      </w:pPr>
      <w:r>
        <w:t xml:space="preserve">ISO 27001 Information Security Management</w:t>
      </w:r>
    </w:p>
    <w:p>
      <w:pPr>
        <w:pStyle w:val="FirstParagraph"/>
      </w:pPr>
      <w:r>
        <w:rPr>
          <w:bCs/>
          <w:b/>
        </w:rPr>
        <w:t xml:space="preserve">Requirements</w:t>
      </w:r>
      <w:r>
        <w:t xml:space="preserve">:</w:t>
      </w:r>
      <w:r>
        <w:t xml:space="preserve"> </w:t>
      </w:r>
      <w:r>
        <w:t xml:space="preserve">- Information security management system (ISMS)</w:t>
      </w:r>
      <w:r>
        <w:t xml:space="preserve"> </w:t>
      </w:r>
      <w:r>
        <w:t xml:space="preserve">- Risk-based approach to security</w:t>
      </w:r>
      <w:r>
        <w:t xml:space="preserve"> </w:t>
      </w:r>
      <w:r>
        <w:t xml:space="preserve">- Continuous improvement process</w:t>
      </w:r>
      <w:r>
        <w:t xml:space="preserve"> </w:t>
      </w:r>
      <w:r>
        <w:t xml:space="preserve">- Regular management reviews</w:t>
      </w:r>
    </w:p>
    <w:p>
      <w:pPr>
        <w:pStyle w:val="BodyText"/>
      </w:pPr>
      <w:r>
        <w:rPr>
          <w:bCs/>
          <w:b/>
        </w:rPr>
        <w:t xml:space="preserve">Controls</w:t>
      </w:r>
      <w:r>
        <w:t xml:space="preserve">:</w:t>
      </w:r>
      <w:r>
        <w:t xml:space="preserve"> </w:t>
      </w:r>
      <w:r>
        <w:t xml:space="preserve">- Documented security policies</w:t>
      </w:r>
      <w:r>
        <w:t xml:space="preserve"> </w:t>
      </w:r>
      <w:r>
        <w:t xml:space="preserve">- Risk assessment procedures</w:t>
      </w:r>
      <w:r>
        <w:t xml:space="preserve"> </w:t>
      </w:r>
      <w:r>
        <w:t xml:space="preserve">- Security awareness training</w:t>
      </w:r>
      <w:r>
        <w:t xml:space="preserve"> </w:t>
      </w:r>
      <w:r>
        <w:t xml:space="preserve">- Internal audit program</w:t>
      </w:r>
    </w:p>
    <w:bookmarkEnd w:id="26"/>
    <w:bookmarkStart w:id="27" w:name="nist-cybersecurity-framework"/>
    <w:p>
      <w:pPr>
        <w:pStyle w:val="Heading3"/>
      </w:pPr>
      <w:r>
        <w:t xml:space="preserve">NIST Cybersecurity Framework</w:t>
      </w:r>
    </w:p>
    <w:p>
      <w:pPr>
        <w:pStyle w:val="FirstParagraph"/>
      </w:pPr>
      <w:r>
        <w:rPr>
          <w:bCs/>
          <w:b/>
        </w:rPr>
        <w:t xml:space="preserve">Requirements</w:t>
      </w:r>
      <w:r>
        <w:t xml:space="preserve">:</w:t>
      </w:r>
      <w:r>
        <w:t xml:space="preserve"> </w:t>
      </w:r>
      <w:r>
        <w:t xml:space="preserve">- Identify, Protect, Detect, Respond, Recover</w:t>
      </w:r>
      <w:r>
        <w:t xml:space="preserve"> </w:t>
      </w:r>
      <w:r>
        <w:t xml:space="preserve">- Risk management approach</w:t>
      </w:r>
      <w:r>
        <w:t xml:space="preserve"> </w:t>
      </w:r>
      <w:r>
        <w:t xml:space="preserve">- Continuous monitoring</w:t>
      </w:r>
      <w:r>
        <w:t xml:space="preserve"> </w:t>
      </w:r>
      <w:r>
        <w:t xml:space="preserve">- Stakeholder communication</w:t>
      </w:r>
    </w:p>
    <w:p>
      <w:pPr>
        <w:pStyle w:val="BodyText"/>
      </w:pPr>
      <w:r>
        <w:rPr>
          <w:bCs/>
          <w:b/>
        </w:rPr>
        <w:t xml:space="preserve">Controls</w:t>
      </w:r>
      <w:r>
        <w:t xml:space="preserve">:</w:t>
      </w:r>
      <w:r>
        <w:t xml:space="preserve"> </w:t>
      </w:r>
      <w:r>
        <w:t xml:space="preserve">- Asset inventory and classification</w:t>
      </w:r>
      <w:r>
        <w:t xml:space="preserve"> </w:t>
      </w:r>
      <w:r>
        <w:t xml:space="preserve">- Access control implementation</w:t>
      </w:r>
      <w:r>
        <w:t xml:space="preserve"> </w:t>
      </w:r>
      <w:r>
        <w:t xml:space="preserve">- Security monitoring and detection</w:t>
      </w:r>
      <w:r>
        <w:t xml:space="preserve"> </w:t>
      </w:r>
      <w:r>
        <w:t xml:space="preserve">- Incident response capabilities</w:t>
      </w:r>
    </w:p>
    <w:bookmarkEnd w:id="27"/>
    <w:bookmarkStart w:id="28" w:name="X3cd5954a1cf727304f68e5dfe2ae2a5417769f8"/>
    <w:p>
      <w:pPr>
        <w:pStyle w:val="Heading3"/>
      </w:pPr>
      <w:r>
        <w:t xml:space="preserve">Cloud Security Alliance (CSA) Cloud Controls Matrix</w:t>
      </w:r>
    </w:p>
    <w:p>
      <w:pPr>
        <w:pStyle w:val="FirstParagraph"/>
      </w:pPr>
      <w:r>
        <w:rPr>
          <w:bCs/>
          <w:b/>
        </w:rPr>
        <w:t xml:space="preserve">Requirements</w:t>
      </w:r>
      <w:r>
        <w:t xml:space="preserve">:</w:t>
      </w:r>
      <w:r>
        <w:t xml:space="preserve"> </w:t>
      </w:r>
      <w:r>
        <w:t xml:space="preserve">- Cloud-specific security controls</w:t>
      </w:r>
      <w:r>
        <w:t xml:space="preserve"> </w:t>
      </w:r>
      <w:r>
        <w:t xml:space="preserve">- Shared responsibility model</w:t>
      </w:r>
      <w:r>
        <w:t xml:space="preserve"> </w:t>
      </w:r>
      <w:r>
        <w:t xml:space="preserve">- Continuous monitoring</w:t>
      </w:r>
      <w:r>
        <w:t xml:space="preserve"> </w:t>
      </w:r>
      <w:r>
        <w:t xml:space="preserve">- Third-party risk management</w:t>
      </w:r>
    </w:p>
    <w:p>
      <w:pPr>
        <w:pStyle w:val="BodyText"/>
      </w:pPr>
      <w:r>
        <w:rPr>
          <w:bCs/>
          <w:b/>
        </w:rPr>
        <w:t xml:space="preserve">Controls</w:t>
      </w:r>
      <w:r>
        <w:t xml:space="preserve">:</w:t>
      </w:r>
      <w:r>
        <w:t xml:space="preserve"> </w:t>
      </w:r>
      <w:r>
        <w:t xml:space="preserve">- Cloud access governance</w:t>
      </w:r>
      <w:r>
        <w:t xml:space="preserve"> </w:t>
      </w:r>
      <w:r>
        <w:t xml:space="preserve">- Data encryption and protection</w:t>
      </w:r>
      <w:r>
        <w:t xml:space="preserve"> </w:t>
      </w:r>
      <w:r>
        <w:t xml:space="preserve">- Identity and access management</w:t>
      </w:r>
      <w:r>
        <w:t xml:space="preserve"> </w:t>
      </w:r>
      <w:r>
        <w:t xml:space="preserve">- Vendor risk assessments</w:t>
      </w:r>
    </w:p>
    <w:bookmarkEnd w:id="28"/>
    <w:bookmarkEnd w:id="29"/>
    <w:bookmarkStart w:id="36" w:name="audit-program-structure"/>
    <w:p>
      <w:pPr>
        <w:pStyle w:val="Heading2"/>
      </w:pPr>
      <w:r>
        <w:t xml:space="preserve">Audit Program Structure</w:t>
      </w:r>
    </w:p>
    <w:bookmarkStart w:id="31" w:name="uk-msvx-cps-internal-audit-program"/>
    <w:p>
      <w:pPr>
        <w:pStyle w:val="Heading3"/>
      </w:pPr>
      <w:r>
        <w:t xml:space="preserve">UK MSVX CPS Internal Audit Program</w:t>
      </w:r>
    </w:p>
    <w:p>
      <w:pPr>
        <w:pStyle w:val="FirstParagraph"/>
      </w:pPr>
      <w:r>
        <w:rPr>
          <w:bCs/>
          <w:b/>
        </w:rPr>
        <w:t xml:space="preserve">Frequency</w:t>
      </w:r>
      <w:r>
        <w:t xml:space="preserve">: Quarterly</w:t>
      </w:r>
      <w:r>
        <w:t xml:space="preserve"> </w:t>
      </w:r>
      <w:r>
        <w:rPr>
          <w:bCs/>
          <w:b/>
        </w:rPr>
        <w:t xml:space="preserve">Scope</w:t>
      </w:r>
      <w:r>
        <w:t xml:space="preserve">: All CSO infrastructure access management processes</w:t>
      </w:r>
      <w:r>
        <w:t xml:space="preserve"> </w:t>
      </w:r>
      <w:r>
        <w:rPr>
          <w:bCs/>
          <w:b/>
        </w:rPr>
        <w:t xml:space="preserve">Responsibilities</w:t>
      </w:r>
      <w:r>
        <w:t xml:space="preserve">: Internal audit team</w:t>
      </w:r>
      <w:r>
        <w:t xml:space="preserve"> </w:t>
      </w:r>
      <w:r>
        <w:rPr>
          <w:bCs/>
          <w:b/>
        </w:rPr>
        <w:t xml:space="preserve">Deliverables</w:t>
      </w:r>
      <w:r>
        <w:t xml:space="preserve">: Audit reports and remediation plans</w:t>
      </w:r>
    </w:p>
    <w:bookmarkStart w:id="30" w:name="audit-areas"/>
    <w:p>
      <w:pPr>
        <w:pStyle w:val="Heading4"/>
      </w:pPr>
      <w:r>
        <w:t xml:space="preserve">Audit Areas</w:t>
      </w:r>
    </w:p>
    <w:p>
      <w:pPr>
        <w:numPr>
          <w:ilvl w:val="0"/>
          <w:numId w:val="1001"/>
        </w:numPr>
        <w:pStyle w:val="Compact"/>
      </w:pPr>
      <w:r>
        <w:t xml:space="preserve">Terraform workspace access management</w:t>
      </w:r>
    </w:p>
    <w:p>
      <w:pPr>
        <w:numPr>
          <w:ilvl w:val="0"/>
          <w:numId w:val="1001"/>
        </w:numPr>
        <w:pStyle w:val="Compact"/>
      </w:pPr>
      <w:r>
        <w:t xml:space="preserve">AWS IAM and Cognito user lifecycle</w:t>
      </w:r>
    </w:p>
    <w:p>
      <w:pPr>
        <w:numPr>
          <w:ilvl w:val="0"/>
          <w:numId w:val="1001"/>
        </w:numPr>
        <w:pStyle w:val="Compact"/>
      </w:pPr>
      <w:r>
        <w:t xml:space="preserve">Keystone identity service access controls</w:t>
      </w:r>
    </w:p>
    <w:p>
      <w:pPr>
        <w:numPr>
          <w:ilvl w:val="0"/>
          <w:numId w:val="1001"/>
        </w:numPr>
        <w:pStyle w:val="Compact"/>
      </w:pPr>
      <w:r>
        <w:t xml:space="preserve">RabbitMQ user and permission management</w:t>
      </w:r>
    </w:p>
    <w:p>
      <w:pPr>
        <w:numPr>
          <w:ilvl w:val="0"/>
          <w:numId w:val="1001"/>
        </w:numPr>
        <w:pStyle w:val="Compact"/>
      </w:pPr>
      <w:r>
        <w:t xml:space="preserve">Emergency access procedures</w:t>
      </w:r>
    </w:p>
    <w:p>
      <w:pPr>
        <w:numPr>
          <w:ilvl w:val="0"/>
          <w:numId w:val="1001"/>
        </w:numPr>
        <w:pStyle w:val="Compact"/>
      </w:pPr>
      <w:r>
        <w:t xml:space="preserve">SSM Session Manager usage compliance</w:t>
      </w:r>
    </w:p>
    <w:bookmarkEnd w:id="30"/>
    <w:bookmarkEnd w:id="31"/>
    <w:bookmarkStart w:id="33" w:name="uk-msvx-cps-external-audit-program"/>
    <w:p>
      <w:pPr>
        <w:pStyle w:val="Heading3"/>
      </w:pPr>
      <w:r>
        <w:t xml:space="preserve">UK MSVX CPS External Audit Program</w:t>
      </w:r>
    </w:p>
    <w:p>
      <w:pPr>
        <w:pStyle w:val="FirstParagraph"/>
      </w:pPr>
      <w:r>
        <w:rPr>
          <w:bCs/>
          <w:b/>
        </w:rPr>
        <w:t xml:space="preserve">Frequency</w:t>
      </w:r>
      <w:r>
        <w:t xml:space="preserve">: Annual</w:t>
      </w:r>
      <w:r>
        <w:t xml:space="preserve"> </w:t>
      </w:r>
      <w:r>
        <w:rPr>
          <w:bCs/>
          <w:b/>
        </w:rPr>
        <w:t xml:space="preserve">Scope</w:t>
      </w:r>
      <w:r>
        <w:t xml:space="preserve">: UK regulatory compliance validation</w:t>
      </w:r>
      <w:r>
        <w:t xml:space="preserve"> </w:t>
      </w:r>
      <w:r>
        <w:rPr>
          <w:bCs/>
          <w:b/>
        </w:rPr>
        <w:t xml:space="preserve">Responsibilities</w:t>
      </w:r>
      <w:r>
        <w:t xml:space="preserve">: External audit firm</w:t>
      </w:r>
      <w:r>
        <w:t xml:space="preserve"> </w:t>
      </w:r>
      <w:r>
        <w:rPr>
          <w:bCs/>
          <w:b/>
        </w:rPr>
        <w:t xml:space="preserve">Deliverables</w:t>
      </w:r>
      <w:r>
        <w:t xml:space="preserve">: Compliance certifications and recommendations</w:t>
      </w:r>
    </w:p>
    <w:bookmarkStart w:id="32" w:name="audit-areas-1"/>
    <w:p>
      <w:pPr>
        <w:pStyle w:val="Heading4"/>
      </w:pPr>
      <w:r>
        <w:t xml:space="preserve">Audit Areas</w:t>
      </w:r>
    </w:p>
    <w:p>
      <w:pPr>
        <w:numPr>
          <w:ilvl w:val="0"/>
          <w:numId w:val="1002"/>
        </w:numPr>
        <w:pStyle w:val="Compact"/>
      </w:pPr>
      <w:r>
        <w:t xml:space="preserve">UK Data Protection compliance assessment</w:t>
      </w:r>
    </w:p>
    <w:p>
      <w:pPr>
        <w:numPr>
          <w:ilvl w:val="0"/>
          <w:numId w:val="1002"/>
        </w:numPr>
        <w:pStyle w:val="Compact"/>
      </w:pPr>
      <w:r>
        <w:t xml:space="preserve">ISO 27001 certification audit</w:t>
      </w:r>
    </w:p>
    <w:p>
      <w:pPr>
        <w:numPr>
          <w:ilvl w:val="0"/>
          <w:numId w:val="1002"/>
        </w:numPr>
        <w:pStyle w:val="Compact"/>
      </w:pPr>
      <w:r>
        <w:t xml:space="preserve">Cyber Essentials Plus validation</w:t>
      </w:r>
    </w:p>
    <w:p>
      <w:pPr>
        <w:numPr>
          <w:ilvl w:val="0"/>
          <w:numId w:val="1002"/>
        </w:numPr>
        <w:pStyle w:val="Compact"/>
      </w:pPr>
      <w:r>
        <w:t xml:space="preserve">UK Government security standards compliance</w:t>
      </w:r>
    </w:p>
    <w:bookmarkEnd w:id="32"/>
    <w:bookmarkEnd w:id="33"/>
    <w:bookmarkStart w:id="35" w:name="Xe36abbaff37cf1a4a9dcb281730da212f65ce60"/>
    <w:p>
      <w:pPr>
        <w:pStyle w:val="Heading3"/>
      </w:pPr>
      <w:r>
        <w:t xml:space="preserve">UK MSVX CPS Continuous Monitoring Program</w:t>
      </w:r>
    </w:p>
    <w:p>
      <w:pPr>
        <w:pStyle w:val="FirstParagraph"/>
      </w:pPr>
      <w:r>
        <w:rPr>
          <w:bCs/>
          <w:b/>
        </w:rPr>
        <w:t xml:space="preserve">Frequency</w:t>
      </w:r>
      <w:r>
        <w:t xml:space="preserve">: Real-time/Daily</w:t>
      </w:r>
      <w:r>
        <w:t xml:space="preserve"> </w:t>
      </w:r>
      <w:r>
        <w:rPr>
          <w:bCs/>
          <w:b/>
        </w:rPr>
        <w:t xml:space="preserve">Scope</w:t>
      </w:r>
      <w:r>
        <w:t xml:space="preserve">: CSO infrastructure access activities and controls</w:t>
      </w:r>
      <w:r>
        <w:t xml:space="preserve"> </w:t>
      </w:r>
      <w:r>
        <w:rPr>
          <w:bCs/>
          <w:b/>
        </w:rPr>
        <w:t xml:space="preserve">Responsibilities</w:t>
      </w:r>
      <w:r>
        <w:t xml:space="preserve">: CSO security operations team</w:t>
      </w:r>
      <w:r>
        <w:t xml:space="preserve"> </w:t>
      </w:r>
      <w:r>
        <w:rPr>
          <w:bCs/>
          <w:b/>
        </w:rPr>
        <w:t xml:space="preserve">Deliverables</w:t>
      </w:r>
      <w:r>
        <w:t xml:space="preserve">: Monitoring reports and alerts</w:t>
      </w:r>
    </w:p>
    <w:bookmarkStart w:id="34" w:name="monitoring-areas"/>
    <w:p>
      <w:pPr>
        <w:pStyle w:val="Heading4"/>
      </w:pPr>
      <w:r>
        <w:t xml:space="preserve">Monitoring Areas</w:t>
      </w:r>
    </w:p>
    <w:p>
      <w:pPr>
        <w:numPr>
          <w:ilvl w:val="0"/>
          <w:numId w:val="1003"/>
        </w:numPr>
        <w:pStyle w:val="Compact"/>
      </w:pPr>
      <w:r>
        <w:t xml:space="preserve">SSM Session Manager access patterns</w:t>
      </w:r>
    </w:p>
    <w:p>
      <w:pPr>
        <w:numPr>
          <w:ilvl w:val="0"/>
          <w:numId w:val="1003"/>
        </w:numPr>
        <w:pStyle w:val="Compact"/>
      </w:pPr>
      <w:r>
        <w:t xml:space="preserve">Cognito authentication success/failure rates</w:t>
      </w:r>
    </w:p>
    <w:p>
      <w:pPr>
        <w:numPr>
          <w:ilvl w:val="0"/>
          <w:numId w:val="1003"/>
        </w:numPr>
        <w:pStyle w:val="Compact"/>
      </w:pPr>
      <w:r>
        <w:t xml:space="preserve">Keystone token issuance and validation</w:t>
      </w:r>
    </w:p>
    <w:p>
      <w:pPr>
        <w:numPr>
          <w:ilvl w:val="0"/>
          <w:numId w:val="1003"/>
        </w:numPr>
        <w:pStyle w:val="Compact"/>
      </w:pPr>
      <w:r>
        <w:t xml:space="preserve">RabbitMQ user access and message patterns</w:t>
      </w:r>
    </w:p>
    <w:p>
      <w:pPr>
        <w:numPr>
          <w:ilvl w:val="0"/>
          <w:numId w:val="1003"/>
        </w:numPr>
        <w:pStyle w:val="Compact"/>
      </w:pPr>
      <w:r>
        <w:t xml:space="preserve">Terraform workspace changes and deployments</w:t>
      </w:r>
    </w:p>
    <w:p>
      <w:pPr>
        <w:numPr>
          <w:ilvl w:val="0"/>
          <w:numId w:val="1003"/>
        </w:numPr>
        <w:pStyle w:val="Compact"/>
      </w:pPr>
      <w:r>
        <w:t xml:space="preserve">RDS database access and query patterns</w:t>
      </w:r>
    </w:p>
    <w:bookmarkEnd w:id="34"/>
    <w:bookmarkEnd w:id="35"/>
    <w:bookmarkEnd w:id="36"/>
    <w:bookmarkStart w:id="41" w:name="audit-procedures"/>
    <w:p>
      <w:pPr>
        <w:pStyle w:val="Heading2"/>
      </w:pPr>
      <w:r>
        <w:t xml:space="preserve">Audit Procedures</w:t>
      </w:r>
    </w:p>
    <w:bookmarkStart w:id="37" w:name="uk-msvx-cps-access-review-audits"/>
    <w:p>
      <w:pPr>
        <w:pStyle w:val="Heading3"/>
      </w:pPr>
      <w:r>
        <w:t xml:space="preserve">UK MSVX CPS Access Review Audits</w:t>
      </w:r>
    </w:p>
    <w:p>
      <w:pPr>
        <w:pStyle w:val="FirstParagraph"/>
      </w:pPr>
      <w:r>
        <w:rPr>
          <w:bCs/>
          <w:b/>
        </w:rPr>
        <w:t xml:space="preserve">Objective</w:t>
      </w:r>
      <w:r>
        <w:t xml:space="preserve">: Validate appropriateness of CSO infrastructure access</w:t>
      </w:r>
      <w:r>
        <w:t xml:space="preserve"> </w:t>
      </w:r>
      <w:r>
        <w:rPr>
          <w:bCs/>
          <w:b/>
        </w:rPr>
        <w:t xml:space="preserve">Frequency</w:t>
      </w:r>
      <w:r>
        <w:t xml:space="preserve">: Quarterly</w:t>
      </w:r>
      <w:r>
        <w:t xml:space="preserve"> </w:t>
      </w:r>
      <w:r>
        <w:rPr>
          <w:bCs/>
          <w:b/>
        </w:rPr>
        <w:t xml:space="preserve">Process</w:t>
      </w:r>
      <w:r>
        <w:t xml:space="preserve">:</w:t>
      </w:r>
      <w:r>
        <w:t xml:space="preserve"> </w:t>
      </w:r>
      <w:r>
        <w:t xml:space="preserve">1. Generate access reports for all CSO services (AWS IAM, Cognito, Keystone, RabbitMQ)</w:t>
      </w:r>
      <w:r>
        <w:t xml:space="preserve"> </w:t>
      </w:r>
      <w:r>
        <w:t xml:space="preserve">2. Manager review and attestation</w:t>
      </w:r>
      <w:r>
        <w:t xml:space="preserve"> </w:t>
      </w:r>
      <w:r>
        <w:t xml:space="preserve">3. Exception identification and remediation</w:t>
      </w:r>
      <w:r>
        <w:t xml:space="preserve"> </w:t>
      </w:r>
      <w:r>
        <w:t xml:space="preserve">4. Terraform workspace access validation</w:t>
      </w:r>
      <w:r>
        <w:t xml:space="preserve"> </w:t>
      </w:r>
      <w:r>
        <w:t xml:space="preserve">5. Documentation and reporting</w:t>
      </w:r>
    </w:p>
    <w:bookmarkEnd w:id="37"/>
    <w:bookmarkStart w:id="38" w:name="uk-msvx-cps-privileged-access-audits"/>
    <w:p>
      <w:pPr>
        <w:pStyle w:val="Heading3"/>
      </w:pPr>
      <w:r>
        <w:t xml:space="preserve">UK MSVX CPS Privileged Access Audits</w:t>
      </w:r>
    </w:p>
    <w:p>
      <w:pPr>
        <w:pStyle w:val="FirstParagraph"/>
      </w:pPr>
      <w:r>
        <w:rPr>
          <w:bCs/>
          <w:b/>
        </w:rPr>
        <w:t xml:space="preserve">Objective</w:t>
      </w:r>
      <w:r>
        <w:t xml:space="preserve">: Ensure proper controls for elevated CSO infrastructure privileges</w:t>
      </w:r>
      <w:r>
        <w:t xml:space="preserve"> </w:t>
      </w:r>
      <w:r>
        <w:rPr>
          <w:bCs/>
          <w:b/>
        </w:rPr>
        <w:t xml:space="preserve">Frequency</w:t>
      </w:r>
      <w:r>
        <w:t xml:space="preserve">: Monthly</w:t>
      </w:r>
      <w:r>
        <w:t xml:space="preserve"> </w:t>
      </w:r>
      <w:r>
        <w:rPr>
          <w:bCs/>
          <w:b/>
        </w:rPr>
        <w:t xml:space="preserve">Process</w:t>
      </w:r>
      <w:r>
        <w:t xml:space="preserve">:</w:t>
      </w:r>
      <w:r>
        <w:t xml:space="preserve"> </w:t>
      </w:r>
      <w:r>
        <w:t xml:space="preserve">1. Inventory all privileged accounts (AWS IAM, Keystone admin, RabbitMQ admin)</w:t>
      </w:r>
      <w:r>
        <w:t xml:space="preserve"> </w:t>
      </w:r>
      <w:r>
        <w:t xml:space="preserve">2. Validate business justification for CSO access</w:t>
      </w:r>
      <w:r>
        <w:t xml:space="preserve"> </w:t>
      </w:r>
      <w:r>
        <w:t xml:space="preserve">3. Review SSM session usage patterns</w:t>
      </w:r>
      <w:r>
        <w:t xml:space="preserve"> </w:t>
      </w:r>
      <w:r>
        <w:t xml:space="preserve">4. Verify Terraform workspace access compliance</w:t>
      </w:r>
      <w:r>
        <w:t xml:space="preserve"> </w:t>
      </w:r>
      <w:r>
        <w:t xml:space="preserve">5. Audit Keystone administrative token usage</w:t>
      </w:r>
    </w:p>
    <w:bookmarkEnd w:id="38"/>
    <w:bookmarkStart w:id="39" w:name="emergency-access-audits"/>
    <w:p>
      <w:pPr>
        <w:pStyle w:val="Heading3"/>
      </w:pPr>
      <w:r>
        <w:t xml:space="preserve">Emergency Access Audits</w:t>
      </w:r>
    </w:p>
    <w:p>
      <w:pPr>
        <w:pStyle w:val="FirstParagraph"/>
      </w:pPr>
      <w:r>
        <w:rPr>
          <w:bCs/>
          <w:b/>
        </w:rPr>
        <w:t xml:space="preserve">Objective</w:t>
      </w:r>
      <w:r>
        <w:t xml:space="preserve">: Validate emergency access procedures and usage</w:t>
      </w:r>
      <w:r>
        <w:t xml:space="preserve"> </w:t>
      </w:r>
      <w:r>
        <w:rPr>
          <w:bCs/>
          <w:b/>
        </w:rPr>
        <w:t xml:space="preserve">Frequency</w:t>
      </w:r>
      <w:r>
        <w:t xml:space="preserve">: After each emergency access event</w:t>
      </w:r>
      <w:r>
        <w:t xml:space="preserve"> </w:t>
      </w:r>
      <w:r>
        <w:rPr>
          <w:bCs/>
          <w:b/>
        </w:rPr>
        <w:t xml:space="preserve">Process</w:t>
      </w:r>
      <w:r>
        <w:t xml:space="preserve">:</w:t>
      </w:r>
      <w:r>
        <w:t xml:space="preserve"> </w:t>
      </w:r>
      <w:r>
        <w:t xml:space="preserve">1. Review emergency access justification</w:t>
      </w:r>
      <w:r>
        <w:t xml:space="preserve"> </w:t>
      </w:r>
      <w:r>
        <w:t xml:space="preserve">2. Validate approval processes</w:t>
      </w:r>
      <w:r>
        <w:t xml:space="preserve"> </w:t>
      </w:r>
      <w:r>
        <w:t xml:space="preserve">3. Analyze access activities</w:t>
      </w:r>
      <w:r>
        <w:t xml:space="preserve"> </w:t>
      </w:r>
      <w:r>
        <w:t xml:space="preserve">4. Document lessons learned</w:t>
      </w:r>
    </w:p>
    <w:bookmarkEnd w:id="39"/>
    <w:bookmarkStart w:id="40" w:name="compliance-control-testing"/>
    <w:p>
      <w:pPr>
        <w:pStyle w:val="Heading3"/>
      </w:pPr>
      <w:r>
        <w:t xml:space="preserve">Compliance Control Testing</w:t>
      </w:r>
    </w:p>
    <w:p>
      <w:pPr>
        <w:pStyle w:val="FirstParagraph"/>
      </w:pPr>
      <w:r>
        <w:rPr>
          <w:bCs/>
          <w:b/>
        </w:rPr>
        <w:t xml:space="preserve">Objective</w:t>
      </w:r>
      <w:r>
        <w:t xml:space="preserve">: Validate effectiveness of compliance controls</w:t>
      </w:r>
      <w:r>
        <w:t xml:space="preserve"> </w:t>
      </w:r>
      <w:r>
        <w:rPr>
          <w:bCs/>
          <w:b/>
        </w:rPr>
        <w:t xml:space="preserve">Frequency</w:t>
      </w:r>
      <w:r>
        <w:t xml:space="preserve">: Annually or as required</w:t>
      </w:r>
      <w:r>
        <w:t xml:space="preserve"> </w:t>
      </w:r>
      <w:r>
        <w:rPr>
          <w:bCs/>
          <w:b/>
        </w:rPr>
        <w:t xml:space="preserve">Process</w:t>
      </w:r>
      <w:r>
        <w:t xml:space="preserve">:</w:t>
      </w:r>
      <w:r>
        <w:t xml:space="preserve"> </w:t>
      </w:r>
      <w:r>
        <w:t xml:space="preserve">1. Select control samples for testing</w:t>
      </w:r>
      <w:r>
        <w:t xml:space="preserve"> </w:t>
      </w:r>
      <w:r>
        <w:t xml:space="preserve">2. Execute control testing procedures</w:t>
      </w:r>
      <w:r>
        <w:t xml:space="preserve"> </w:t>
      </w:r>
      <w:r>
        <w:t xml:space="preserve">3. Document control effectiveness</w:t>
      </w:r>
      <w:r>
        <w:t xml:space="preserve"> </w:t>
      </w:r>
      <w:r>
        <w:t xml:space="preserve">4. Report deficiencies and remediation</w:t>
      </w:r>
    </w:p>
    <w:bookmarkEnd w:id="40"/>
    <w:bookmarkEnd w:id="41"/>
    <w:bookmarkStart w:id="45" w:name="audit-evidence-and-documentation"/>
    <w:p>
      <w:pPr>
        <w:pStyle w:val="Heading2"/>
      </w:pPr>
      <w:r>
        <w:t xml:space="preserve">Audit Evidence and Documentation</w:t>
      </w:r>
    </w:p>
    <w:bookmarkStart w:id="42" w:name="uk-msvx-cps-required-documentation"/>
    <w:p>
      <w:pPr>
        <w:pStyle w:val="Heading3"/>
      </w:pPr>
      <w:r>
        <w:t xml:space="preserve">UK MSVX CPS Required Documentation</w:t>
      </w:r>
    </w:p>
    <w:p>
      <w:pPr>
        <w:numPr>
          <w:ilvl w:val="0"/>
          <w:numId w:val="1004"/>
        </w:numPr>
        <w:pStyle w:val="Compact"/>
      </w:pPr>
      <w:r>
        <w:t xml:space="preserve">CSO access management policies and procedures</w:t>
      </w:r>
    </w:p>
    <w:p>
      <w:pPr>
        <w:numPr>
          <w:ilvl w:val="0"/>
          <w:numId w:val="1004"/>
        </w:numPr>
        <w:pStyle w:val="Compact"/>
      </w:pPr>
      <w:r>
        <w:t xml:space="preserve">Terraform workspace provisioning records</w:t>
      </w:r>
    </w:p>
    <w:p>
      <w:pPr>
        <w:numPr>
          <w:ilvl w:val="0"/>
          <w:numId w:val="1004"/>
        </w:numPr>
        <w:pStyle w:val="Compact"/>
      </w:pPr>
      <w:r>
        <w:t xml:space="preserve">AWS IAM, Cognito, and Keystone user provisioning records</w:t>
      </w:r>
    </w:p>
    <w:p>
      <w:pPr>
        <w:numPr>
          <w:ilvl w:val="0"/>
          <w:numId w:val="1004"/>
        </w:numPr>
        <w:pStyle w:val="Compact"/>
      </w:pPr>
      <w:r>
        <w:t xml:space="preserve">Access review and certification reports</w:t>
      </w:r>
    </w:p>
    <w:p>
      <w:pPr>
        <w:numPr>
          <w:ilvl w:val="0"/>
          <w:numId w:val="1004"/>
        </w:numPr>
        <w:pStyle w:val="Compact"/>
      </w:pPr>
      <w:r>
        <w:t xml:space="preserve">Emergency access logs and SSM session records</w:t>
      </w:r>
    </w:p>
    <w:p>
      <w:pPr>
        <w:numPr>
          <w:ilvl w:val="0"/>
          <w:numId w:val="1004"/>
        </w:numPr>
        <w:pStyle w:val="Compact"/>
      </w:pPr>
      <w:r>
        <w:t xml:space="preserve">Training records and certifications</w:t>
      </w:r>
    </w:p>
    <w:p>
      <w:pPr>
        <w:numPr>
          <w:ilvl w:val="0"/>
          <w:numId w:val="1004"/>
        </w:numPr>
        <w:pStyle w:val="Compact"/>
      </w:pPr>
      <w:r>
        <w:t xml:space="preserve">CSO incident response documentation</w:t>
      </w:r>
    </w:p>
    <w:p>
      <w:pPr>
        <w:numPr>
          <w:ilvl w:val="0"/>
          <w:numId w:val="1004"/>
        </w:numPr>
        <w:pStyle w:val="Compact"/>
      </w:pPr>
      <w:r>
        <w:t xml:space="preserve">Keystone service audit logs</w:t>
      </w:r>
    </w:p>
    <w:p>
      <w:pPr>
        <w:numPr>
          <w:ilvl w:val="0"/>
          <w:numId w:val="1004"/>
        </w:numPr>
        <w:pStyle w:val="Compact"/>
      </w:pPr>
      <w:r>
        <w:t xml:space="preserve">RabbitMQ access and message audit logs</w:t>
      </w:r>
    </w:p>
    <w:bookmarkEnd w:id="42"/>
    <w:bookmarkStart w:id="43" w:name="evidence-collection"/>
    <w:p>
      <w:pPr>
        <w:pStyle w:val="Heading3"/>
      </w:pPr>
      <w:r>
        <w:t xml:space="preserve">Evidence Collection</w:t>
      </w:r>
    </w:p>
    <w:p>
      <w:pPr>
        <w:numPr>
          <w:ilvl w:val="0"/>
          <w:numId w:val="1005"/>
        </w:numPr>
        <w:pStyle w:val="Compact"/>
      </w:pPr>
      <w:r>
        <w:t xml:space="preserve">Automated log collection and retention</w:t>
      </w:r>
    </w:p>
    <w:p>
      <w:pPr>
        <w:numPr>
          <w:ilvl w:val="0"/>
          <w:numId w:val="1005"/>
        </w:numPr>
        <w:pStyle w:val="Compact"/>
      </w:pPr>
      <w:r>
        <w:t xml:space="preserve">Screenshot and configuration captures</w:t>
      </w:r>
    </w:p>
    <w:p>
      <w:pPr>
        <w:numPr>
          <w:ilvl w:val="0"/>
          <w:numId w:val="1005"/>
        </w:numPr>
        <w:pStyle w:val="Compact"/>
      </w:pPr>
      <w:r>
        <w:t xml:space="preserve">Interview documentation</w:t>
      </w:r>
    </w:p>
    <w:p>
      <w:pPr>
        <w:numPr>
          <w:ilvl w:val="0"/>
          <w:numId w:val="1005"/>
        </w:numPr>
        <w:pStyle w:val="Compact"/>
      </w:pPr>
      <w:r>
        <w:t xml:space="preserve">Third-party attestations</w:t>
      </w:r>
    </w:p>
    <w:p>
      <w:pPr>
        <w:numPr>
          <w:ilvl w:val="0"/>
          <w:numId w:val="1005"/>
        </w:numPr>
        <w:pStyle w:val="Compact"/>
      </w:pPr>
      <w:r>
        <w:t xml:space="preserve">System-generated reports</w:t>
      </w:r>
    </w:p>
    <w:bookmarkEnd w:id="43"/>
    <w:bookmarkStart w:id="44" w:name="documentation-standards"/>
    <w:p>
      <w:pPr>
        <w:pStyle w:val="Heading3"/>
      </w:pPr>
      <w:r>
        <w:t xml:space="preserve">Documentation Standards</w:t>
      </w:r>
    </w:p>
    <w:p>
      <w:pPr>
        <w:numPr>
          <w:ilvl w:val="0"/>
          <w:numId w:val="1006"/>
        </w:numPr>
        <w:pStyle w:val="Compact"/>
      </w:pPr>
      <w:r>
        <w:t xml:space="preserve">Standardized templates and formats</w:t>
      </w:r>
    </w:p>
    <w:p>
      <w:pPr>
        <w:numPr>
          <w:ilvl w:val="0"/>
          <w:numId w:val="1006"/>
        </w:numPr>
        <w:pStyle w:val="Compact"/>
      </w:pPr>
      <w:r>
        <w:t xml:space="preserve">Version control and change tracking</w:t>
      </w:r>
    </w:p>
    <w:p>
      <w:pPr>
        <w:numPr>
          <w:ilvl w:val="0"/>
          <w:numId w:val="1006"/>
        </w:numPr>
        <w:pStyle w:val="Compact"/>
      </w:pPr>
      <w:r>
        <w:t xml:space="preserve">Secure storage and access controls</w:t>
      </w:r>
    </w:p>
    <w:p>
      <w:pPr>
        <w:numPr>
          <w:ilvl w:val="0"/>
          <w:numId w:val="1006"/>
        </w:numPr>
        <w:pStyle w:val="Compact"/>
      </w:pPr>
      <w:r>
        <w:t xml:space="preserve">Retention period compliance</w:t>
      </w:r>
    </w:p>
    <w:p>
      <w:pPr>
        <w:numPr>
          <w:ilvl w:val="0"/>
          <w:numId w:val="1006"/>
        </w:numPr>
        <w:pStyle w:val="Compact"/>
      </w:pPr>
      <w:r>
        <w:t xml:space="preserve">Regular review and updates</w:t>
      </w:r>
    </w:p>
    <w:bookmarkEnd w:id="44"/>
    <w:bookmarkEnd w:id="45"/>
    <w:bookmarkStart w:id="49" w:name="key-performance-indicators-kpis"/>
    <w:p>
      <w:pPr>
        <w:pStyle w:val="Heading2"/>
      </w:pPr>
      <w:r>
        <w:t xml:space="preserve">Key Performance Indicators (KPIs)</w:t>
      </w:r>
    </w:p>
    <w:bookmarkStart w:id="46" w:name="uk-msvx-cps-access-management-metrics"/>
    <w:p>
      <w:pPr>
        <w:pStyle w:val="Heading3"/>
      </w:pPr>
      <w:r>
        <w:t xml:space="preserve">UK MSVX CPS Access Management Metrics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Terraform Deployment Time</w:t>
      </w:r>
      <w:r>
        <w:t xml:space="preserve">: Average time to provision CSO environments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Access Review Completion Rate</w:t>
      </w:r>
      <w:r>
        <w:t xml:space="preserve">: Percentage of CSO access reviews completed on time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Policy Violation Rate</w:t>
      </w:r>
      <w:r>
        <w:t xml:space="preserve">: Number of CSO access policy violations per period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Emergency Access Usage</w:t>
      </w:r>
      <w:r>
        <w:t xml:space="preserve">: Frequency and duration of emergency CSO access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SSM Session Duration</w:t>
      </w:r>
      <w:r>
        <w:t xml:space="preserve">: Average and maximum session durations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Keystone Token Validation Rate</w:t>
      </w:r>
      <w:r>
        <w:t xml:space="preserve">: Success rate of identity service authentication</w:t>
      </w:r>
    </w:p>
    <w:bookmarkEnd w:id="46"/>
    <w:bookmarkStart w:id="47" w:name="uk-msvx-cps-compliance-metrics"/>
    <w:p>
      <w:pPr>
        <w:pStyle w:val="Heading3"/>
      </w:pPr>
      <w:r>
        <w:t xml:space="preserve">UK MSVX CPS Compliance Metrics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Audit Finding Resolution Time</w:t>
      </w:r>
      <w:r>
        <w:t xml:space="preserve">: Average time to resolve CSO audit findings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Control Effectiveness Rate</w:t>
      </w:r>
      <w:r>
        <w:t xml:space="preserve">: Percentage of CSO controls operating effectively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Compliance Training Completion</w:t>
      </w:r>
      <w:r>
        <w:t xml:space="preserve">: Percentage of CSO staff completing training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UK Regulatory Compliance Rate</w:t>
      </w:r>
      <w:r>
        <w:t xml:space="preserve">: Compliance with UK data protection and security standards</w:t>
      </w:r>
    </w:p>
    <w:bookmarkEnd w:id="47"/>
    <w:bookmarkStart w:id="48" w:name="uk-msvx-cps-security-metrics"/>
    <w:p>
      <w:pPr>
        <w:pStyle w:val="Heading3"/>
      </w:pPr>
      <w:r>
        <w:t xml:space="preserve">UK MSVX CPS Security Metrics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Privileged Account Usage</w:t>
      </w:r>
      <w:r>
        <w:t xml:space="preserve">: Monitoring of CSO administrative account activities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Failed Authentication Attempts</w:t>
      </w:r>
      <w:r>
        <w:t xml:space="preserve">: Cognito and Keystone authentication failures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MFA Adoption Rate</w:t>
      </w:r>
      <w:r>
        <w:t xml:space="preserve">: Percentage of CSO accounts with MFA enabled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Access Certification Rate</w:t>
      </w:r>
      <w:r>
        <w:t xml:space="preserve">: Percentage of CSO access properly certified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Infrastructure Drift Detection</w:t>
      </w:r>
      <w:r>
        <w:t xml:space="preserve">: Terraform state vs. actual infrastructure compliance</w:t>
      </w:r>
    </w:p>
    <w:bookmarkEnd w:id="48"/>
    <w:bookmarkEnd w:id="49"/>
    <w:bookmarkStart w:id="53" w:name="reporting-and-communication"/>
    <w:p>
      <w:pPr>
        <w:pStyle w:val="Heading2"/>
      </w:pPr>
      <w:r>
        <w:t xml:space="preserve">Reporting and Communication</w:t>
      </w:r>
    </w:p>
    <w:bookmarkStart w:id="50" w:name="management-reporting"/>
    <w:p>
      <w:pPr>
        <w:pStyle w:val="Heading3"/>
      </w:pPr>
      <w:r>
        <w:t xml:space="preserve">Management Reporting</w:t>
      </w:r>
    </w:p>
    <w:p>
      <w:pPr>
        <w:pStyle w:val="FirstParagraph"/>
      </w:pPr>
      <w:r>
        <w:rPr>
          <w:bCs/>
          <w:b/>
        </w:rPr>
        <w:t xml:space="preserve">Audience</w:t>
      </w:r>
      <w:r>
        <w:t xml:space="preserve">: Executive leadership and board</w:t>
      </w:r>
      <w:r>
        <w:t xml:space="preserve"> </w:t>
      </w:r>
      <w:r>
        <w:rPr>
          <w:bCs/>
          <w:b/>
        </w:rPr>
        <w:t xml:space="preserve">Frequency</w:t>
      </w:r>
      <w:r>
        <w:t xml:space="preserve">: Quarterly</w:t>
      </w:r>
      <w:r>
        <w:t xml:space="preserve"> </w:t>
      </w:r>
      <w:r>
        <w:rPr>
          <w:bCs/>
          <w:b/>
        </w:rPr>
        <w:t xml:space="preserve">Content</w:t>
      </w:r>
      <w:r>
        <w:t xml:space="preserve">:</w:t>
      </w:r>
      <w:r>
        <w:t xml:space="preserve"> </w:t>
      </w:r>
      <w:r>
        <w:t xml:space="preserve">- Compliance status summary</w:t>
      </w:r>
      <w:r>
        <w:t xml:space="preserve"> </w:t>
      </w:r>
      <w:r>
        <w:t xml:space="preserve">- Key risk indicators</w:t>
      </w:r>
      <w:r>
        <w:t xml:space="preserve"> </w:t>
      </w:r>
      <w:r>
        <w:t xml:space="preserve">- Audit findings and remediation</w:t>
      </w:r>
      <w:r>
        <w:t xml:space="preserve"> </w:t>
      </w:r>
      <w:r>
        <w:t xml:space="preserve">- Regulatory updates and impacts</w:t>
      </w:r>
    </w:p>
    <w:bookmarkEnd w:id="50"/>
    <w:bookmarkStart w:id="51" w:name="operational-reporting"/>
    <w:p>
      <w:pPr>
        <w:pStyle w:val="Heading3"/>
      </w:pPr>
      <w:r>
        <w:t xml:space="preserve">Operational Reporting</w:t>
      </w:r>
    </w:p>
    <w:p>
      <w:pPr>
        <w:pStyle w:val="FirstParagraph"/>
      </w:pPr>
      <w:r>
        <w:rPr>
          <w:bCs/>
          <w:b/>
        </w:rPr>
        <w:t xml:space="preserve">Audience</w:t>
      </w:r>
      <w:r>
        <w:t xml:space="preserve">: IT and security teams</w:t>
      </w:r>
      <w:r>
        <w:t xml:space="preserve"> </w:t>
      </w:r>
      <w:r>
        <w:rPr>
          <w:bCs/>
          <w:b/>
        </w:rPr>
        <w:t xml:space="preserve">Frequency</w:t>
      </w:r>
      <w:r>
        <w:t xml:space="preserve">: Monthly</w:t>
      </w:r>
      <w:r>
        <w:t xml:space="preserve"> </w:t>
      </w:r>
      <w:r>
        <w:rPr>
          <w:bCs/>
          <w:b/>
        </w:rPr>
        <w:t xml:space="preserve">Content</w:t>
      </w:r>
      <w:r>
        <w:t xml:space="preserve">:</w:t>
      </w:r>
      <w:r>
        <w:t xml:space="preserve"> </w:t>
      </w:r>
      <w:r>
        <w:t xml:space="preserve">- Access management metrics</w:t>
      </w:r>
      <w:r>
        <w:t xml:space="preserve"> </w:t>
      </w:r>
      <w:r>
        <w:t xml:space="preserve">- Policy violation reports</w:t>
      </w:r>
      <w:r>
        <w:t xml:space="preserve"> </w:t>
      </w:r>
      <w:r>
        <w:t xml:space="preserve">- System performance indicators</w:t>
      </w:r>
      <w:r>
        <w:t xml:space="preserve"> </w:t>
      </w:r>
      <w:r>
        <w:t xml:space="preserve">- Process improvement recommendations</w:t>
      </w:r>
    </w:p>
    <w:bookmarkEnd w:id="51"/>
    <w:bookmarkStart w:id="52" w:name="regulatory-reporting"/>
    <w:p>
      <w:pPr>
        <w:pStyle w:val="Heading3"/>
      </w:pPr>
      <w:r>
        <w:t xml:space="preserve">Regulatory Reporting</w:t>
      </w:r>
    </w:p>
    <w:p>
      <w:pPr>
        <w:pStyle w:val="FirstParagraph"/>
      </w:pPr>
      <w:r>
        <w:rPr>
          <w:bCs/>
          <w:b/>
        </w:rPr>
        <w:t xml:space="preserve">Audience</w:t>
      </w:r>
      <w:r>
        <w:t xml:space="preserve">: Regulatory bodies and auditors</w:t>
      </w:r>
      <w:r>
        <w:t xml:space="preserve"> </w:t>
      </w:r>
      <w:r>
        <w:rPr>
          <w:bCs/>
          <w:b/>
        </w:rPr>
        <w:t xml:space="preserve">Frequency</w:t>
      </w:r>
      <w:r>
        <w:t xml:space="preserve">: As required</w:t>
      </w:r>
      <w:r>
        <w:t xml:space="preserve"> </w:t>
      </w:r>
      <w:r>
        <w:rPr>
          <w:bCs/>
          <w:b/>
        </w:rPr>
        <w:t xml:space="preserve">Content</w:t>
      </w:r>
      <w:r>
        <w:t xml:space="preserve">:</w:t>
      </w:r>
      <w:r>
        <w:t xml:space="preserve"> </w:t>
      </w:r>
      <w:r>
        <w:t xml:space="preserve">- Compliance certifications</w:t>
      </w:r>
      <w:r>
        <w:t xml:space="preserve"> </w:t>
      </w:r>
      <w:r>
        <w:t xml:space="preserve">- Audit reports and findings</w:t>
      </w:r>
      <w:r>
        <w:t xml:space="preserve"> </w:t>
      </w:r>
      <w:r>
        <w:t xml:space="preserve">- Remediation status updates</w:t>
      </w:r>
      <w:r>
        <w:t xml:space="preserve"> </w:t>
      </w:r>
      <w:r>
        <w:t xml:space="preserve">- Control effectiveness assessments</w:t>
      </w:r>
    </w:p>
    <w:bookmarkEnd w:id="52"/>
    <w:bookmarkEnd w:id="53"/>
    <w:bookmarkStart w:id="56" w:name="remediation-and-improvement"/>
    <w:p>
      <w:pPr>
        <w:pStyle w:val="Heading2"/>
      </w:pPr>
      <w:r>
        <w:t xml:space="preserve">Remediation and Improvement</w:t>
      </w:r>
    </w:p>
    <w:bookmarkStart w:id="54" w:name="finding-remediation-process"/>
    <w:p>
      <w:pPr>
        <w:pStyle w:val="Heading3"/>
      </w:pPr>
      <w:r>
        <w:t xml:space="preserve">Finding Remediation Process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Finding Classification</w:t>
      </w:r>
      <w:r>
        <w:t xml:space="preserve">: Severity and impact assessment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Root Cause Analysis</w:t>
      </w:r>
      <w:r>
        <w:t xml:space="preserve">: Identify underlying causes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Remediation Planning</w:t>
      </w:r>
      <w:r>
        <w:t xml:space="preserve">: Develop corrective action plans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Implementation</w:t>
      </w:r>
      <w:r>
        <w:t xml:space="preserve">: Execute remediation activities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Validation</w:t>
      </w:r>
      <w:r>
        <w:t xml:space="preserve">: Verify effectiveness of remediation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Monitoring</w:t>
      </w:r>
      <w:r>
        <w:t xml:space="preserve">: Ongoing monitoring for recurrence</w:t>
      </w:r>
    </w:p>
    <w:bookmarkEnd w:id="54"/>
    <w:bookmarkStart w:id="55" w:name="continuous-improvement"/>
    <w:p>
      <w:pPr>
        <w:pStyle w:val="Heading3"/>
      </w:pPr>
      <w:r>
        <w:t xml:space="preserve">Continuous Improvement</w:t>
      </w:r>
    </w:p>
    <w:p>
      <w:pPr>
        <w:numPr>
          <w:ilvl w:val="0"/>
          <w:numId w:val="1011"/>
        </w:numPr>
        <w:pStyle w:val="Compact"/>
      </w:pPr>
      <w:r>
        <w:t xml:space="preserve">Regular process reviews and updates</w:t>
      </w:r>
    </w:p>
    <w:p>
      <w:pPr>
        <w:numPr>
          <w:ilvl w:val="0"/>
          <w:numId w:val="1011"/>
        </w:numPr>
        <w:pStyle w:val="Compact"/>
      </w:pPr>
      <w:r>
        <w:t xml:space="preserve">Benchmarking against industry best practices</w:t>
      </w:r>
    </w:p>
    <w:p>
      <w:pPr>
        <w:numPr>
          <w:ilvl w:val="0"/>
          <w:numId w:val="1011"/>
        </w:numPr>
        <w:pStyle w:val="Compact"/>
      </w:pPr>
      <w:r>
        <w:t xml:space="preserve">Technology upgrades and automation</w:t>
      </w:r>
    </w:p>
    <w:p>
      <w:pPr>
        <w:numPr>
          <w:ilvl w:val="0"/>
          <w:numId w:val="1011"/>
        </w:numPr>
        <w:pStyle w:val="Compact"/>
      </w:pPr>
      <w:r>
        <w:t xml:space="preserve">Staff training and development</w:t>
      </w:r>
    </w:p>
    <w:p>
      <w:pPr>
        <w:numPr>
          <w:ilvl w:val="0"/>
          <w:numId w:val="1011"/>
        </w:numPr>
        <w:pStyle w:val="Compact"/>
      </w:pPr>
      <w:r>
        <w:t xml:space="preserve">Stakeholder feedback incorporation</w:t>
      </w:r>
    </w:p>
    <w:bookmarkEnd w:id="55"/>
    <w:bookmarkEnd w:id="56"/>
    <w:bookmarkStart w:id="59" w:name="risk-management-integration"/>
    <w:p>
      <w:pPr>
        <w:pStyle w:val="Heading2"/>
      </w:pPr>
      <w:r>
        <w:t xml:space="preserve">Risk Management Integration</w:t>
      </w:r>
    </w:p>
    <w:bookmarkStart w:id="57" w:name="risk-assessment"/>
    <w:p>
      <w:pPr>
        <w:pStyle w:val="Heading3"/>
      </w:pPr>
      <w:r>
        <w:t xml:space="preserve">Risk Assessment</w:t>
      </w:r>
    </w:p>
    <w:p>
      <w:pPr>
        <w:numPr>
          <w:ilvl w:val="0"/>
          <w:numId w:val="1012"/>
        </w:numPr>
        <w:pStyle w:val="Compact"/>
      </w:pPr>
      <w:r>
        <w:t xml:space="preserve">Regular risk assessments of access management processes</w:t>
      </w:r>
    </w:p>
    <w:p>
      <w:pPr>
        <w:numPr>
          <w:ilvl w:val="0"/>
          <w:numId w:val="1012"/>
        </w:numPr>
        <w:pStyle w:val="Compact"/>
      </w:pPr>
      <w:r>
        <w:t xml:space="preserve">Threat modeling and vulnerability analysis</w:t>
      </w:r>
    </w:p>
    <w:p>
      <w:pPr>
        <w:numPr>
          <w:ilvl w:val="0"/>
          <w:numId w:val="1012"/>
        </w:numPr>
        <w:pStyle w:val="Compact"/>
      </w:pPr>
      <w:r>
        <w:t xml:space="preserve">Business impact assessments</w:t>
      </w:r>
    </w:p>
    <w:p>
      <w:pPr>
        <w:numPr>
          <w:ilvl w:val="0"/>
          <w:numId w:val="1012"/>
        </w:numPr>
        <w:pStyle w:val="Compact"/>
      </w:pPr>
      <w:r>
        <w:t xml:space="preserve">Risk treatment planning and implementation</w:t>
      </w:r>
    </w:p>
    <w:bookmarkEnd w:id="57"/>
    <w:bookmarkStart w:id="58" w:name="risk-monitoring"/>
    <w:p>
      <w:pPr>
        <w:pStyle w:val="Heading3"/>
      </w:pPr>
      <w:r>
        <w:t xml:space="preserve">Risk Monitoring</w:t>
      </w:r>
    </w:p>
    <w:p>
      <w:pPr>
        <w:numPr>
          <w:ilvl w:val="0"/>
          <w:numId w:val="1013"/>
        </w:numPr>
        <w:pStyle w:val="Compact"/>
      </w:pPr>
      <w:r>
        <w:t xml:space="preserve">Continuous risk monitoring and reporting</w:t>
      </w:r>
    </w:p>
    <w:p>
      <w:pPr>
        <w:numPr>
          <w:ilvl w:val="0"/>
          <w:numId w:val="1013"/>
        </w:numPr>
        <w:pStyle w:val="Compact"/>
      </w:pPr>
      <w:r>
        <w:t xml:space="preserve">Key risk indicator tracking</w:t>
      </w:r>
    </w:p>
    <w:p>
      <w:pPr>
        <w:numPr>
          <w:ilvl w:val="0"/>
          <w:numId w:val="1013"/>
        </w:numPr>
        <w:pStyle w:val="Compact"/>
      </w:pPr>
      <w:r>
        <w:t xml:space="preserve">Risk appetite and tolerance monitoring</w:t>
      </w:r>
    </w:p>
    <w:p>
      <w:pPr>
        <w:numPr>
          <w:ilvl w:val="0"/>
          <w:numId w:val="1013"/>
        </w:numPr>
        <w:pStyle w:val="Compact"/>
      </w:pPr>
      <w:r>
        <w:t xml:space="preserve">Escalation procedures for risk threshold breaches</w:t>
      </w:r>
    </w:p>
    <w:bookmarkEnd w:id="58"/>
    <w:bookmarkEnd w:id="59"/>
    <w:bookmarkStart w:id="62" w:name="training-and-awareness"/>
    <w:p>
      <w:pPr>
        <w:pStyle w:val="Heading2"/>
      </w:pPr>
      <w:r>
        <w:t xml:space="preserve">Training and Awareness</w:t>
      </w:r>
    </w:p>
    <w:bookmarkStart w:id="60" w:name="compliance-training-program"/>
    <w:p>
      <w:pPr>
        <w:pStyle w:val="Heading3"/>
      </w:pPr>
      <w:r>
        <w:t xml:space="preserve">Compliance Training Program</w:t>
      </w:r>
    </w:p>
    <w:p>
      <w:pPr>
        <w:pStyle w:val="FirstParagraph"/>
      </w:pPr>
      <w:r>
        <w:rPr>
          <w:bCs/>
          <w:b/>
        </w:rPr>
        <w:t xml:space="preserve">Target Audience</w:t>
      </w:r>
      <w:r>
        <w:t xml:space="preserve">: All staff with system access</w:t>
      </w:r>
      <w:r>
        <w:t xml:space="preserve"> </w:t>
      </w:r>
      <w:r>
        <w:rPr>
          <w:bCs/>
          <w:b/>
        </w:rPr>
        <w:t xml:space="preserve">Frequency</w:t>
      </w:r>
      <w:r>
        <w:t xml:space="preserve">: Annual with updates as needed</w:t>
      </w:r>
      <w:r>
        <w:t xml:space="preserve"> </w:t>
      </w:r>
      <w:r>
        <w:rPr>
          <w:bCs/>
          <w:b/>
        </w:rPr>
        <w:t xml:space="preserve">Content</w:t>
      </w:r>
      <w:r>
        <w:t xml:space="preserve">:</w:t>
      </w:r>
      <w:r>
        <w:t xml:space="preserve"> </w:t>
      </w:r>
      <w:r>
        <w:t xml:space="preserve">- Regulatory requirements overview</w:t>
      </w:r>
      <w:r>
        <w:t xml:space="preserve"> </w:t>
      </w:r>
      <w:r>
        <w:t xml:space="preserve">- Company policies and procedures</w:t>
      </w:r>
      <w:r>
        <w:t xml:space="preserve"> </w:t>
      </w:r>
      <w:r>
        <w:t xml:space="preserve">- Role-specific compliance obligations</w:t>
      </w:r>
      <w:r>
        <w:t xml:space="preserve"> </w:t>
      </w:r>
      <w:r>
        <w:t xml:space="preserve">- Incident reporting procedures</w:t>
      </w:r>
    </w:p>
    <w:bookmarkEnd w:id="60"/>
    <w:bookmarkStart w:id="61" w:name="specialized-training"/>
    <w:p>
      <w:pPr>
        <w:pStyle w:val="Heading3"/>
      </w:pPr>
      <w:r>
        <w:t xml:space="preserve">Specialized Training</w:t>
      </w:r>
    </w:p>
    <w:p>
      <w:pPr>
        <w:pStyle w:val="FirstParagraph"/>
      </w:pPr>
      <w:r>
        <w:rPr>
          <w:bCs/>
          <w:b/>
        </w:rPr>
        <w:t xml:space="preserve">Target Audience</w:t>
      </w:r>
      <w:r>
        <w:t xml:space="preserve">: Access management team</w:t>
      </w:r>
      <w:r>
        <w:t xml:space="preserve"> </w:t>
      </w:r>
      <w:r>
        <w:rPr>
          <w:bCs/>
          <w:b/>
        </w:rPr>
        <w:t xml:space="preserve">Frequency</w:t>
      </w:r>
      <w:r>
        <w:t xml:space="preserve">: Ongoing</w:t>
      </w:r>
      <w:r>
        <w:t xml:space="preserve"> </w:t>
      </w:r>
      <w:r>
        <w:rPr>
          <w:bCs/>
          <w:b/>
        </w:rPr>
        <w:t xml:space="preserve">Content</w:t>
      </w:r>
      <w:r>
        <w:t xml:space="preserve">:</w:t>
      </w:r>
      <w:r>
        <w:t xml:space="preserve"> </w:t>
      </w:r>
      <w:r>
        <w:t xml:space="preserve">- Advanced compliance topics</w:t>
      </w:r>
      <w:r>
        <w:t xml:space="preserve"> </w:t>
      </w:r>
      <w:r>
        <w:t xml:space="preserve">- Audit preparation and response</w:t>
      </w:r>
      <w:r>
        <w:t xml:space="preserve"> </w:t>
      </w:r>
      <w:r>
        <w:t xml:space="preserve">- New regulatory requirements</w:t>
      </w:r>
      <w:r>
        <w:t xml:space="preserve"> </w:t>
      </w:r>
      <w:r>
        <w:t xml:space="preserve">- Technology updates and changes</w:t>
      </w:r>
    </w:p>
    <w:bookmarkEnd w:id="61"/>
    <w:bookmarkEnd w:id="62"/>
    <w:bookmarkStart w:id="65" w:name="technology-and-tools"/>
    <w:p>
      <w:pPr>
        <w:pStyle w:val="Heading2"/>
      </w:pPr>
      <w:r>
        <w:t xml:space="preserve">Technology and Tools</w:t>
      </w:r>
    </w:p>
    <w:bookmarkStart w:id="63" w:name="audit-management-tools"/>
    <w:p>
      <w:pPr>
        <w:pStyle w:val="Heading3"/>
      </w:pPr>
      <w:r>
        <w:t xml:space="preserve">Audit Management Tools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GRC Platforms</w:t>
      </w:r>
      <w:r>
        <w:t xml:space="preserve">: Integrated governance, risk, and compliance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Audit Management Systems</w:t>
      </w:r>
      <w:r>
        <w:t xml:space="preserve">: Audit planning and execution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Risk Assessment Tools</w:t>
      </w:r>
      <w:r>
        <w:t xml:space="preserve">: Risk identification and analysis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Compliance Monitoring</w:t>
      </w:r>
      <w:r>
        <w:t xml:space="preserve">: Automated compliance checking</w:t>
      </w:r>
    </w:p>
    <w:bookmarkEnd w:id="63"/>
    <w:bookmarkStart w:id="64" w:name="access-management-tools"/>
    <w:p>
      <w:pPr>
        <w:pStyle w:val="Heading3"/>
      </w:pPr>
      <w:r>
        <w:t xml:space="preserve">Access Management Tools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Identity Governance</w:t>
      </w:r>
      <w:r>
        <w:t xml:space="preserve">: User lifecycle management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Privileged Access Management</w:t>
      </w:r>
      <w:r>
        <w:t xml:space="preserve">: Elevated access controls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Access Analytics</w:t>
      </w:r>
      <w:r>
        <w:t xml:space="preserve">: Usage pattern analysis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Compliance Reporting</w:t>
      </w:r>
      <w:r>
        <w:t xml:space="preserve">: Automated report generation</w:t>
      </w:r>
    </w:p>
    <w:bookmarkEnd w:id="64"/>
    <w:bookmarkEnd w:id="65"/>
    <w:bookmarkStart w:id="69" w:name="Xd3f6ab078d4aa1de07d5e7caa3c7f7e3291f700"/>
    <w:p>
      <w:pPr>
        <w:pStyle w:val="Heading2"/>
      </w:pPr>
      <w:r>
        <w:t xml:space="preserve">UK MSVX CPS Specific Compliance Considerations</w:t>
      </w:r>
    </w:p>
    <w:bookmarkStart w:id="66" w:name="terraform-state-compliance"/>
    <w:p>
      <w:pPr>
        <w:pStyle w:val="Heading3"/>
      </w:pPr>
      <w:r>
        <w:t xml:space="preserve">Terraform State Compliance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State File Security</w:t>
      </w:r>
      <w:r>
        <w:t xml:space="preserve">: S3 backend with encryption and versioning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Access Control</w:t>
      </w:r>
      <w:r>
        <w:t xml:space="preserve">: IAM policies for Terraform state access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Change Tracking</w:t>
      </w:r>
      <w:r>
        <w:t xml:space="preserve">: Git-based infrastructure change management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Drift Detection</w:t>
      </w:r>
      <w:r>
        <w:t xml:space="preserve">: Regular comparison of desired vs. actual state</w:t>
      </w:r>
    </w:p>
    <w:bookmarkEnd w:id="66"/>
    <w:bookmarkStart w:id="67" w:name="multi-service-audit-trail"/>
    <w:p>
      <w:pPr>
        <w:pStyle w:val="Heading3"/>
      </w:pPr>
      <w:r>
        <w:t xml:space="preserve">Multi-Service Audit Trail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AWS CloudTrail</w:t>
      </w:r>
      <w:r>
        <w:t xml:space="preserve">: Infrastructure API calls and changes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SSM Session Manager</w:t>
      </w:r>
      <w:r>
        <w:t xml:space="preserve">: Administrative access sessions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Application Load Balancer</w:t>
      </w:r>
      <w:r>
        <w:t xml:space="preserve">: HTTP/HTTPS access logs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Keystone Audit Logs</w:t>
      </w:r>
      <w:r>
        <w:t xml:space="preserve">: Identity service authentication events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RabbitMQ Logs</w:t>
      </w:r>
      <w:r>
        <w:t xml:space="preserve">: Message broker access and operations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RDS Audit Logs</w:t>
      </w:r>
      <w:r>
        <w:t xml:space="preserve">: Database access and query logging</w:t>
      </w:r>
    </w:p>
    <w:bookmarkEnd w:id="67"/>
    <w:bookmarkStart w:id="68" w:name="environment-specific-compliance"/>
    <w:p>
      <w:pPr>
        <w:pStyle w:val="Heading3"/>
      </w:pPr>
      <w:r>
        <w:t xml:space="preserve">Environment-Specific Compliance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Development</w:t>
      </w:r>
      <w:r>
        <w:t xml:space="preserve">: Relaxed controls for development activities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Staging</w:t>
      </w:r>
      <w:r>
        <w:t xml:space="preserve">: Production-like controls for testing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Production</w:t>
      </w:r>
      <w:r>
        <w:t xml:space="preserve">: Full compliance controls and monitoring</w:t>
      </w:r>
    </w:p>
    <w:bookmarkEnd w:id="68"/>
    <w:bookmarkEnd w:id="69"/>
    <w:bookmarkStart w:id="77" w:name="related-documentation"/>
    <w:p>
      <w:pPr>
        <w:pStyle w:val="Heading2"/>
      </w:pPr>
      <w:r>
        <w:t xml:space="preserve">Related Documentation</w:t>
      </w:r>
    </w:p>
    <w:p>
      <w:pPr>
        <w:numPr>
          <w:ilvl w:val="0"/>
          <w:numId w:val="1019"/>
        </w:numPr>
        <w:pStyle w:val="Compact"/>
      </w:pPr>
      <w:hyperlink r:id="rId70">
        <w:r>
          <w:rPr>
            <w:rStyle w:val="Hyperlink"/>
          </w:rPr>
          <w:t xml:space="preserve">JML Processes</w:t>
        </w:r>
      </w:hyperlink>
    </w:p>
    <w:p>
      <w:pPr>
        <w:numPr>
          <w:ilvl w:val="0"/>
          <w:numId w:val="1019"/>
        </w:numPr>
        <w:pStyle w:val="Compact"/>
      </w:pPr>
      <w:hyperlink r:id="rId71">
        <w:r>
          <w:rPr>
            <w:rStyle w:val="Hyperlink"/>
          </w:rPr>
          <w:t xml:space="preserve">User Account Management</w:t>
        </w:r>
      </w:hyperlink>
    </w:p>
    <w:p>
      <w:pPr>
        <w:numPr>
          <w:ilvl w:val="0"/>
          <w:numId w:val="1019"/>
        </w:numPr>
        <w:pStyle w:val="Compact"/>
      </w:pPr>
      <w:hyperlink r:id="rId72">
        <w:r>
          <w:rPr>
            <w:rStyle w:val="Hyperlink"/>
          </w:rPr>
          <w:t xml:space="preserve">AWS Infrastructure Access</w:t>
        </w:r>
      </w:hyperlink>
    </w:p>
    <w:p>
      <w:pPr>
        <w:numPr>
          <w:ilvl w:val="0"/>
          <w:numId w:val="1019"/>
        </w:numPr>
        <w:pStyle w:val="Compact"/>
      </w:pPr>
      <w:hyperlink r:id="rId73">
        <w:r>
          <w:rPr>
            <w:rStyle w:val="Hyperlink"/>
          </w:rPr>
          <w:t xml:space="preserve">Emergency Access Procedures</w:t>
        </w:r>
      </w:hyperlink>
    </w:p>
    <w:p>
      <w:pPr>
        <w:numPr>
          <w:ilvl w:val="0"/>
          <w:numId w:val="1019"/>
        </w:numPr>
        <w:pStyle w:val="Compact"/>
      </w:pPr>
      <w:hyperlink r:id="rId74">
        <w:r>
          <w:rPr>
            <w:rStyle w:val="Hyperlink"/>
          </w:rPr>
          <w:t xml:space="preserve">Security Policies</w:t>
        </w:r>
      </w:hyperlink>
    </w:p>
    <w:p>
      <w:pPr>
        <w:numPr>
          <w:ilvl w:val="0"/>
          <w:numId w:val="1019"/>
        </w:numPr>
        <w:pStyle w:val="Compact"/>
      </w:pPr>
      <w:hyperlink r:id="rId75">
        <w:r>
          <w:rPr>
            <w:rStyle w:val="Hyperlink"/>
          </w:rPr>
          <w:t xml:space="preserve">UK MSVX CPS Architecture</w:t>
        </w:r>
      </w:hyperlink>
    </w:p>
    <w:p>
      <w:pPr>
        <w:numPr>
          <w:ilvl w:val="0"/>
          <w:numId w:val="1019"/>
        </w:numPr>
        <w:pStyle w:val="Compact"/>
      </w:pPr>
      <w:hyperlink r:id="rId76">
        <w:r>
          <w:rPr>
            <w:rStyle w:val="Hyperlink"/>
          </w:rPr>
          <w:t xml:space="preserve">Terraform Deployment Guide</w:t>
        </w:r>
      </w:hyperlink>
    </w:p>
    <w:bookmarkEnd w:id="77"/>
    <w:bookmarkEnd w:id="7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75" Target="../../readme/HLD.md" TargetMode="External" /><Relationship Type="http://schemas.openxmlformats.org/officeDocument/2006/relationships/hyperlink" Id="rId76" Target="../../readme/README.md" TargetMode="External" /><Relationship Type="http://schemas.openxmlformats.org/officeDocument/2006/relationships/hyperlink" Id="rId74" Target="../security-policies/README.md" TargetMode="External" /><Relationship Type="http://schemas.openxmlformats.org/officeDocument/2006/relationships/hyperlink" Id="rId72" Target="./aws-infrastructure-access.md" TargetMode="External" /><Relationship Type="http://schemas.openxmlformats.org/officeDocument/2006/relationships/hyperlink" Id="rId73" Target="./emergency-access.md" TargetMode="External" /><Relationship Type="http://schemas.openxmlformats.org/officeDocument/2006/relationships/hyperlink" Id="rId70" Target="./jml-processes/README.md" TargetMode="External" /><Relationship Type="http://schemas.openxmlformats.org/officeDocument/2006/relationships/hyperlink" Id="rId71" Target="./user-account-managemen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../../readme/HLD.md" TargetMode="External" /><Relationship Type="http://schemas.openxmlformats.org/officeDocument/2006/relationships/hyperlink" Id="rId76" Target="../../readme/README.md" TargetMode="External" /><Relationship Type="http://schemas.openxmlformats.org/officeDocument/2006/relationships/hyperlink" Id="rId74" Target="../security-policies/README.md" TargetMode="External" /><Relationship Type="http://schemas.openxmlformats.org/officeDocument/2006/relationships/hyperlink" Id="rId72" Target="./aws-infrastructure-access.md" TargetMode="External" /><Relationship Type="http://schemas.openxmlformats.org/officeDocument/2006/relationships/hyperlink" Id="rId73" Target="./emergency-access.md" TargetMode="External" /><Relationship Type="http://schemas.openxmlformats.org/officeDocument/2006/relationships/hyperlink" Id="rId70" Target="./jml-processes/README.md" TargetMode="External" /><Relationship Type="http://schemas.openxmlformats.org/officeDocument/2006/relationships/hyperlink" Id="rId71" Target="./user-account-managemen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2026-01-19T11:11:54Z</dcterms:created>
  <dcterms:modified xsi:type="dcterms:W3CDTF">2026-01-19T11:11:54Z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