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user-account-management---uk-msvx-cps"/>
    <w:p>
      <w:pPr>
        <w:pStyle w:val="Heading1"/>
      </w:pPr>
      <w:r>
        <w:t xml:space="preserve">User Account Management - UK MSVX CPS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Comprehensive guidelines for managing user accounts across the UK MSVX CPS infrastructure, including AWS IAM, Keystone identity service, and CSO application accounts.</w:t>
      </w:r>
    </w:p>
    <w:bookmarkEnd w:id="20"/>
    <w:bookmarkStart w:id="26" w:name="account-types"/>
    <w:p>
      <w:pPr>
        <w:pStyle w:val="Heading2"/>
      </w:pPr>
      <w:r>
        <w:t xml:space="preserve">Account Types</w:t>
      </w:r>
    </w:p>
    <w:bookmarkStart w:id="21" w:name="aws-iam-users"/>
    <w:p>
      <w:pPr>
        <w:pStyle w:val="Heading3"/>
      </w:pPr>
      <w:r>
        <w:t xml:space="preserve">AWS IAM Users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</w:t>
      </w:r>
      <w:r>
        <w:t xml:space="preserve">: Infrastructure-level access for administrators and developers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Naming Convention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firstname.lastname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employee.id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Requirements</w:t>
      </w:r>
      <w:r>
        <w:t xml:space="preserve">: MFA enabled, SSM access permissions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Lifecycle</w:t>
      </w:r>
      <w:r>
        <w:t xml:space="preserve">: Managed through JML processes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 Method</w:t>
      </w:r>
      <w:r>
        <w:t xml:space="preserve">: AWS SSM Session Manager (no SSH keys)</w:t>
      </w:r>
    </w:p>
    <w:bookmarkEnd w:id="21"/>
    <w:bookmarkStart w:id="22" w:name="aws-cognito-users-ha-environments"/>
    <w:p>
      <w:pPr>
        <w:pStyle w:val="Heading3"/>
      </w:pPr>
      <w:r>
        <w:t xml:space="preserve">AWS Cognito Users (HA Environments)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Purpose</w:t>
      </w:r>
      <w:r>
        <w:t xml:space="preserve">: Load balancer authentication for HA deployments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Naming Convention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csoadmin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Requirements</w:t>
      </w:r>
      <w:r>
        <w:t xml:space="preserve">: Strong password policy, MFA support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Integration</w:t>
      </w:r>
      <w:r>
        <w:t xml:space="preserve">: OIDC authentication with ALB</w:t>
      </w:r>
    </w:p>
    <w:bookmarkEnd w:id="22"/>
    <w:bookmarkStart w:id="23" w:name="keystone-users"/>
    <w:p>
      <w:pPr>
        <w:pStyle w:val="Heading3"/>
      </w:pPr>
      <w:r>
        <w:t xml:space="preserve">Keystone Users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Purpose</w:t>
      </w:r>
      <w:r>
        <w:t xml:space="preserve">: OpenStack identity service for API authentication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Naming Convention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service_user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Requirements</w:t>
      </w:r>
      <w:r>
        <w:t xml:space="preserve">: Project assignment, role-based permissions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Authentication</w:t>
      </w:r>
      <w:r>
        <w:t xml:space="preserve">: Token-based API access</w:t>
      </w:r>
    </w:p>
    <w:bookmarkEnd w:id="23"/>
    <w:bookmarkStart w:id="24" w:name="cso-application-users"/>
    <w:p>
      <w:pPr>
        <w:pStyle w:val="Heading3"/>
      </w:pPr>
      <w:r>
        <w:t xml:space="preserve">CSO Application Users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</w:t>
      </w:r>
      <w:r>
        <w:t xml:space="preserve">: End-user access to CSO Shared Services Portal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Naming Convention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systemadmin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Requirements</w:t>
      </w:r>
      <w:r>
        <w:t xml:space="preserve">: Role-based access control within application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Integration</w:t>
      </w:r>
      <w:r>
        <w:t xml:space="preserve">: Keystone authentication backend</w:t>
      </w:r>
    </w:p>
    <w:bookmarkEnd w:id="24"/>
    <w:bookmarkStart w:id="25" w:name="service-accounts"/>
    <w:p>
      <w:pPr>
        <w:pStyle w:val="Heading3"/>
      </w:pPr>
      <w:r>
        <w:t xml:space="preserve">Service Accounts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</w:t>
      </w:r>
      <w:r>
        <w:t xml:space="preserve">: Inter-service communication and automation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RabbitMQ service users (</w:t>
      </w:r>
      <w:r>
        <w:rPr>
          <w:rStyle w:val="VerbatimChar"/>
        </w:rPr>
        <w:t xml:space="preserve">ssp_user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Database service accounts</w:t>
      </w:r>
    </w:p>
    <w:p>
      <w:pPr>
        <w:numPr>
          <w:ilvl w:val="1"/>
          <w:numId w:val="1006"/>
        </w:numPr>
        <w:pStyle w:val="Compact"/>
      </w:pPr>
      <w:r>
        <w:t xml:space="preserve">API service accounts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Requirements</w:t>
      </w:r>
      <w:r>
        <w:t xml:space="preserve">: Programmatic access only, minimal permissions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Security</w:t>
      </w:r>
      <w:r>
        <w:t xml:space="preserve">: Automated password rotation via Secrets Manager</w:t>
      </w:r>
    </w:p>
    <w:bookmarkEnd w:id="25"/>
    <w:bookmarkEnd w:id="26"/>
    <w:bookmarkStart w:id="30" w:name="account-standards"/>
    <w:p>
      <w:pPr>
        <w:pStyle w:val="Heading2"/>
      </w:pPr>
      <w:r>
        <w:t xml:space="preserve">Account Standards</w:t>
      </w:r>
    </w:p>
    <w:bookmarkStart w:id="27" w:name="password-policy"/>
    <w:p>
      <w:pPr>
        <w:pStyle w:val="Heading3"/>
      </w:pPr>
      <w:r>
        <w:t xml:space="preserve">Password Policy</w:t>
      </w:r>
    </w:p>
    <w:p>
      <w:pPr>
        <w:numPr>
          <w:ilvl w:val="0"/>
          <w:numId w:val="1007"/>
        </w:numPr>
        <w:pStyle w:val="Compact"/>
      </w:pPr>
      <w:r>
        <w:t xml:space="preserve">Minimum 14 characters</w:t>
      </w:r>
    </w:p>
    <w:p>
      <w:pPr>
        <w:numPr>
          <w:ilvl w:val="0"/>
          <w:numId w:val="1007"/>
        </w:numPr>
        <w:pStyle w:val="Compact"/>
      </w:pPr>
      <w:r>
        <w:t xml:space="preserve">Mix of uppercase, lowercase, numbers, symbols</w:t>
      </w:r>
    </w:p>
    <w:p>
      <w:pPr>
        <w:numPr>
          <w:ilvl w:val="0"/>
          <w:numId w:val="1007"/>
        </w:numPr>
        <w:pStyle w:val="Compact"/>
      </w:pPr>
      <w:r>
        <w:t xml:space="preserve">No dictionary words or personal information</w:t>
      </w:r>
    </w:p>
    <w:p>
      <w:pPr>
        <w:numPr>
          <w:ilvl w:val="0"/>
          <w:numId w:val="1007"/>
        </w:numPr>
        <w:pStyle w:val="Compact"/>
      </w:pPr>
      <w:r>
        <w:t xml:space="preserve">90-day expiration (where applicable)</w:t>
      </w:r>
    </w:p>
    <w:p>
      <w:pPr>
        <w:numPr>
          <w:ilvl w:val="0"/>
          <w:numId w:val="1007"/>
        </w:numPr>
        <w:pStyle w:val="Compact"/>
      </w:pPr>
      <w:r>
        <w:t xml:space="preserve">No password reuse (last 12 passwords)</w:t>
      </w:r>
    </w:p>
    <w:bookmarkEnd w:id="27"/>
    <w:bookmarkStart w:id="28" w:name="multi-factor-authentication-mfa"/>
    <w:p>
      <w:pPr>
        <w:pStyle w:val="Heading3"/>
      </w:pPr>
      <w:r>
        <w:t xml:space="preserve">Multi-Factor Authentication (MFA)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AWS IAM</w:t>
      </w:r>
      <w:r>
        <w:t xml:space="preserve">: Required for all human users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AWS Cognito</w:t>
      </w:r>
      <w:r>
        <w:t xml:space="preserve">: Configurable MFA for HA environments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Keystone</w:t>
      </w:r>
      <w:r>
        <w:t xml:space="preserve">: Token-based authentication (no MFA)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CSO Application</w:t>
      </w:r>
      <w:r>
        <w:t xml:space="preserve">: Application-level authentication</w:t>
      </w:r>
    </w:p>
    <w:p>
      <w:pPr>
        <w:numPr>
          <w:ilvl w:val="0"/>
          <w:numId w:val="1008"/>
        </w:numPr>
        <w:pStyle w:val="Compact"/>
      </w:pPr>
      <w:r>
        <w:t xml:space="preserve">Supported methods:</w:t>
      </w:r>
    </w:p>
    <w:p>
      <w:pPr>
        <w:numPr>
          <w:ilvl w:val="1"/>
          <w:numId w:val="1009"/>
        </w:numPr>
        <w:pStyle w:val="Compact"/>
      </w:pPr>
      <w:r>
        <w:t xml:space="preserve">Hardware tokens (preferred)</w:t>
      </w:r>
    </w:p>
    <w:p>
      <w:pPr>
        <w:numPr>
          <w:ilvl w:val="1"/>
          <w:numId w:val="1009"/>
        </w:numPr>
        <w:pStyle w:val="Compact"/>
      </w:pPr>
      <w:r>
        <w:t xml:space="preserve">Virtual MFA apps (Google Authenticator, Authy)</w:t>
      </w:r>
    </w:p>
    <w:p>
      <w:pPr>
        <w:numPr>
          <w:ilvl w:val="1"/>
          <w:numId w:val="1009"/>
        </w:numPr>
        <w:pStyle w:val="Compact"/>
      </w:pPr>
      <w:r>
        <w:t xml:space="preserve">SMS (emergency backup only)</w:t>
      </w:r>
    </w:p>
    <w:bookmarkEnd w:id="28"/>
    <w:bookmarkStart w:id="29" w:name="access-keys"/>
    <w:p>
      <w:pPr>
        <w:pStyle w:val="Heading3"/>
      </w:pPr>
      <w:r>
        <w:t xml:space="preserve">Access Keys</w:t>
      </w:r>
    </w:p>
    <w:p>
      <w:pPr>
        <w:numPr>
          <w:ilvl w:val="0"/>
          <w:numId w:val="1010"/>
        </w:numPr>
        <w:pStyle w:val="Compact"/>
      </w:pPr>
      <w:r>
        <w:t xml:space="preserve">Maximum 2 active keys per user</w:t>
      </w:r>
    </w:p>
    <w:p>
      <w:pPr>
        <w:numPr>
          <w:ilvl w:val="0"/>
          <w:numId w:val="1010"/>
        </w:numPr>
        <w:pStyle w:val="Compact"/>
      </w:pPr>
      <w:r>
        <w:t xml:space="preserve">90-day rotation requirement</w:t>
      </w:r>
    </w:p>
    <w:p>
      <w:pPr>
        <w:numPr>
          <w:ilvl w:val="0"/>
          <w:numId w:val="1010"/>
        </w:numPr>
        <w:pStyle w:val="Compact"/>
      </w:pPr>
      <w:r>
        <w:t xml:space="preserve">Secure storage in AWS Secrets Manager</w:t>
      </w:r>
    </w:p>
    <w:p>
      <w:pPr>
        <w:numPr>
          <w:ilvl w:val="0"/>
          <w:numId w:val="1010"/>
        </w:numPr>
        <w:pStyle w:val="Compact"/>
      </w:pPr>
      <w:r>
        <w:t xml:space="preserve">Regular usage monitoring</w:t>
      </w:r>
    </w:p>
    <w:bookmarkEnd w:id="29"/>
    <w:bookmarkEnd w:id="30"/>
    <w:bookmarkStart w:id="33" w:name="account-provisioning"/>
    <w:p>
      <w:pPr>
        <w:pStyle w:val="Heading2"/>
      </w:pPr>
      <w:r>
        <w:t xml:space="preserve">Account Provisioning</w:t>
      </w:r>
    </w:p>
    <w:bookmarkStart w:id="31" w:name="standard-process"/>
    <w:p>
      <w:pPr>
        <w:pStyle w:val="Heading3"/>
      </w:pPr>
      <w:r>
        <w:t xml:space="preserve">Standard Process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Request Validation</w:t>
      </w:r>
    </w:p>
    <w:p>
      <w:pPr>
        <w:numPr>
          <w:ilvl w:val="1"/>
          <w:numId w:val="1012"/>
        </w:numPr>
        <w:pStyle w:val="Compact"/>
      </w:pPr>
      <w:r>
        <w:t xml:space="preserve">HR verification</w:t>
      </w:r>
    </w:p>
    <w:p>
      <w:pPr>
        <w:numPr>
          <w:ilvl w:val="1"/>
          <w:numId w:val="1012"/>
        </w:numPr>
        <w:pStyle w:val="Compact"/>
      </w:pPr>
      <w:r>
        <w:t xml:space="preserve">Manager approval</w:t>
      </w:r>
    </w:p>
    <w:p>
      <w:pPr>
        <w:numPr>
          <w:ilvl w:val="1"/>
          <w:numId w:val="1012"/>
        </w:numPr>
        <w:pStyle w:val="Compact"/>
      </w:pPr>
      <w:r>
        <w:t xml:space="preserve">Role-based access determination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Account Creation</w:t>
      </w:r>
    </w:p>
    <w:p>
      <w:pPr>
        <w:numPr>
          <w:ilvl w:val="1"/>
          <w:numId w:val="1013"/>
        </w:numPr>
        <w:pStyle w:val="Compact"/>
      </w:pPr>
      <w:r>
        <w:t xml:space="preserve">Generate secure temporary password</w:t>
      </w:r>
    </w:p>
    <w:p>
      <w:pPr>
        <w:numPr>
          <w:ilvl w:val="1"/>
          <w:numId w:val="1013"/>
        </w:numPr>
        <w:pStyle w:val="Compact"/>
      </w:pPr>
      <w:r>
        <w:t xml:space="preserve">Assign to appropriate IAM groups</w:t>
      </w:r>
    </w:p>
    <w:p>
      <w:pPr>
        <w:numPr>
          <w:ilvl w:val="1"/>
          <w:numId w:val="1013"/>
        </w:numPr>
        <w:pStyle w:val="Compact"/>
      </w:pPr>
      <w:r>
        <w:t xml:space="preserve">Configure MFA requirements</w:t>
      </w:r>
    </w:p>
    <w:p>
      <w:pPr>
        <w:numPr>
          <w:ilvl w:val="1"/>
          <w:numId w:val="1013"/>
        </w:numPr>
        <w:pStyle w:val="Compact"/>
      </w:pPr>
      <w:r>
        <w:t xml:space="preserve">Set account tags for tracking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Initial Setup</w:t>
      </w:r>
    </w:p>
    <w:p>
      <w:pPr>
        <w:numPr>
          <w:ilvl w:val="1"/>
          <w:numId w:val="1014"/>
        </w:numPr>
        <w:pStyle w:val="Compact"/>
      </w:pPr>
      <w:r>
        <w:t xml:space="preserve">Force password reset on first login</w:t>
      </w:r>
    </w:p>
    <w:p>
      <w:pPr>
        <w:numPr>
          <w:ilvl w:val="1"/>
          <w:numId w:val="1014"/>
        </w:numPr>
        <w:pStyle w:val="Compact"/>
      </w:pPr>
      <w:r>
        <w:t xml:space="preserve">MFA device registration</w:t>
      </w:r>
    </w:p>
    <w:p>
      <w:pPr>
        <w:numPr>
          <w:ilvl w:val="1"/>
          <w:numId w:val="1014"/>
        </w:numPr>
        <w:pStyle w:val="Compact"/>
      </w:pPr>
      <w:r>
        <w:t xml:space="preserve">Access validation testing</w:t>
      </w:r>
    </w:p>
    <w:p>
      <w:pPr>
        <w:numPr>
          <w:ilvl w:val="1"/>
          <w:numId w:val="1014"/>
        </w:numPr>
        <w:pStyle w:val="Compact"/>
      </w:pPr>
      <w:r>
        <w:t xml:space="preserve">Documentation update</w:t>
      </w:r>
    </w:p>
    <w:bookmarkEnd w:id="31"/>
    <w:bookmarkStart w:id="32" w:name="automated-provisioning"/>
    <w:p>
      <w:pPr>
        <w:pStyle w:val="Heading3"/>
      </w:pPr>
      <w:r>
        <w:t xml:space="preserve">Automated Provisioning</w:t>
      </w:r>
    </w:p>
    <w:p>
      <w:pPr>
        <w:numPr>
          <w:ilvl w:val="0"/>
          <w:numId w:val="1015"/>
        </w:numPr>
        <w:pStyle w:val="Compact"/>
      </w:pPr>
      <w:r>
        <w:t xml:space="preserve">Integration with HR systems</w:t>
      </w:r>
    </w:p>
    <w:p>
      <w:pPr>
        <w:numPr>
          <w:ilvl w:val="0"/>
          <w:numId w:val="1015"/>
        </w:numPr>
        <w:pStyle w:val="Compact"/>
      </w:pPr>
      <w:r>
        <w:t xml:space="preserve">SCIM protocol support</w:t>
      </w:r>
    </w:p>
    <w:p>
      <w:pPr>
        <w:numPr>
          <w:ilvl w:val="0"/>
          <w:numId w:val="1015"/>
        </w:numPr>
        <w:pStyle w:val="Compact"/>
      </w:pPr>
      <w:r>
        <w:t xml:space="preserve">Automated group assignment</w:t>
      </w:r>
    </w:p>
    <w:p>
      <w:pPr>
        <w:numPr>
          <w:ilvl w:val="0"/>
          <w:numId w:val="1015"/>
        </w:numPr>
        <w:pStyle w:val="Compact"/>
      </w:pPr>
      <w:r>
        <w:t xml:space="preserve">Compliance validation</w:t>
      </w:r>
    </w:p>
    <w:bookmarkEnd w:id="32"/>
    <w:bookmarkEnd w:id="33"/>
    <w:bookmarkStart w:id="37" w:name="account-maintenance"/>
    <w:p>
      <w:pPr>
        <w:pStyle w:val="Heading2"/>
      </w:pPr>
      <w:r>
        <w:t xml:space="preserve">Account Maintenance</w:t>
      </w:r>
    </w:p>
    <w:bookmarkStart w:id="34" w:name="regular-reviews"/>
    <w:p>
      <w:pPr>
        <w:pStyle w:val="Heading3"/>
      </w:pPr>
      <w:r>
        <w:t xml:space="preserve">Regular Reviews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Monthly</w:t>
      </w:r>
      <w:r>
        <w:t xml:space="preserve">: Active account verification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Quarterly</w:t>
      </w:r>
      <w:r>
        <w:t xml:space="preserve">: Permission reviews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Annually</w:t>
      </w:r>
      <w:r>
        <w:t xml:space="preserve">: Comprehensive access certification</w:t>
      </w:r>
    </w:p>
    <w:bookmarkEnd w:id="34"/>
    <w:bookmarkStart w:id="35" w:name="monitoring-and-alerts"/>
    <w:p>
      <w:pPr>
        <w:pStyle w:val="Heading3"/>
      </w:pPr>
      <w:r>
        <w:t xml:space="preserve">Monitoring and Alerts</w:t>
      </w:r>
    </w:p>
    <w:p>
      <w:pPr>
        <w:numPr>
          <w:ilvl w:val="0"/>
          <w:numId w:val="1017"/>
        </w:numPr>
        <w:pStyle w:val="Compact"/>
      </w:pPr>
      <w:r>
        <w:t xml:space="preserve">Unusual login patterns</w:t>
      </w:r>
    </w:p>
    <w:p>
      <w:pPr>
        <w:numPr>
          <w:ilvl w:val="0"/>
          <w:numId w:val="1017"/>
        </w:numPr>
        <w:pStyle w:val="Compact"/>
      </w:pPr>
      <w:r>
        <w:t xml:space="preserve">Failed authentication attempts</w:t>
      </w:r>
    </w:p>
    <w:p>
      <w:pPr>
        <w:numPr>
          <w:ilvl w:val="0"/>
          <w:numId w:val="1017"/>
        </w:numPr>
        <w:pStyle w:val="Compact"/>
      </w:pPr>
      <w:r>
        <w:t xml:space="preserve">Privilege escalation activities</w:t>
      </w:r>
    </w:p>
    <w:p>
      <w:pPr>
        <w:numPr>
          <w:ilvl w:val="0"/>
          <w:numId w:val="1017"/>
        </w:numPr>
        <w:pStyle w:val="Compact"/>
      </w:pPr>
      <w:r>
        <w:t xml:space="preserve">Dormant account identification</w:t>
      </w:r>
    </w:p>
    <w:bookmarkEnd w:id="35"/>
    <w:bookmarkStart w:id="36" w:name="account-updates"/>
    <w:p>
      <w:pPr>
        <w:pStyle w:val="Heading3"/>
      </w:pPr>
      <w:r>
        <w:t xml:space="preserve">Account Updates</w:t>
      </w:r>
    </w:p>
    <w:p>
      <w:pPr>
        <w:numPr>
          <w:ilvl w:val="0"/>
          <w:numId w:val="1018"/>
        </w:numPr>
        <w:pStyle w:val="Compact"/>
      </w:pPr>
      <w:r>
        <w:t xml:space="preserve">Role changes through Mover process</w:t>
      </w:r>
    </w:p>
    <w:p>
      <w:pPr>
        <w:numPr>
          <w:ilvl w:val="0"/>
          <w:numId w:val="1018"/>
        </w:numPr>
        <w:pStyle w:val="Compact"/>
      </w:pPr>
      <w:r>
        <w:t xml:space="preserve">Permission modifications</w:t>
      </w:r>
    </w:p>
    <w:p>
      <w:pPr>
        <w:numPr>
          <w:ilvl w:val="0"/>
          <w:numId w:val="1018"/>
        </w:numPr>
        <w:pStyle w:val="Compact"/>
      </w:pPr>
      <w:r>
        <w:t xml:space="preserve">Contact information updates</w:t>
      </w:r>
    </w:p>
    <w:p>
      <w:pPr>
        <w:numPr>
          <w:ilvl w:val="0"/>
          <w:numId w:val="1018"/>
        </w:numPr>
        <w:pStyle w:val="Compact"/>
      </w:pPr>
      <w:r>
        <w:t xml:space="preserve">Security attribute changes</w:t>
      </w:r>
    </w:p>
    <w:bookmarkEnd w:id="36"/>
    <w:bookmarkEnd w:id="37"/>
    <w:bookmarkStart w:id="40" w:name="account-deactivation"/>
    <w:p>
      <w:pPr>
        <w:pStyle w:val="Heading2"/>
      </w:pPr>
      <w:r>
        <w:t xml:space="preserve">Account Deactivation</w:t>
      </w:r>
    </w:p>
    <w:bookmarkStart w:id="38" w:name="immediate-deactivation-triggers"/>
    <w:p>
      <w:pPr>
        <w:pStyle w:val="Heading3"/>
      </w:pPr>
      <w:r>
        <w:t xml:space="preserve">Immediate Deactivation Triggers</w:t>
      </w:r>
    </w:p>
    <w:p>
      <w:pPr>
        <w:numPr>
          <w:ilvl w:val="0"/>
          <w:numId w:val="1019"/>
        </w:numPr>
        <w:pStyle w:val="Compact"/>
      </w:pPr>
      <w:r>
        <w:t xml:space="preserve">Employee termination</w:t>
      </w:r>
    </w:p>
    <w:p>
      <w:pPr>
        <w:numPr>
          <w:ilvl w:val="0"/>
          <w:numId w:val="1019"/>
        </w:numPr>
        <w:pStyle w:val="Compact"/>
      </w:pPr>
      <w:r>
        <w:t xml:space="preserve">Security incident involvement</w:t>
      </w:r>
    </w:p>
    <w:p>
      <w:pPr>
        <w:numPr>
          <w:ilvl w:val="0"/>
          <w:numId w:val="1019"/>
        </w:numPr>
        <w:pStyle w:val="Compact"/>
      </w:pPr>
      <w:r>
        <w:t xml:space="preserve">Policy violations</w:t>
      </w:r>
    </w:p>
    <w:p>
      <w:pPr>
        <w:numPr>
          <w:ilvl w:val="0"/>
          <w:numId w:val="1019"/>
        </w:numPr>
        <w:pStyle w:val="Compact"/>
      </w:pPr>
      <w:r>
        <w:t xml:space="preserve">Extended leave (&gt;90 days)</w:t>
      </w:r>
    </w:p>
    <w:bookmarkEnd w:id="38"/>
    <w:bookmarkStart w:id="39" w:name="deactivation-process"/>
    <w:p>
      <w:pPr>
        <w:pStyle w:val="Heading3"/>
      </w:pPr>
      <w:r>
        <w:t xml:space="preserve">Deactivation Process</w:t>
      </w:r>
    </w:p>
    <w:p>
      <w:pPr>
        <w:numPr>
          <w:ilvl w:val="0"/>
          <w:numId w:val="1020"/>
        </w:numPr>
        <w:pStyle w:val="Compact"/>
      </w:pPr>
      <w:r>
        <w:t xml:space="preserve">Disable account login</w:t>
      </w:r>
    </w:p>
    <w:p>
      <w:pPr>
        <w:numPr>
          <w:ilvl w:val="0"/>
          <w:numId w:val="1020"/>
        </w:numPr>
        <w:pStyle w:val="Compact"/>
      </w:pPr>
      <w:r>
        <w:t xml:space="preserve">Revoke active sessions</w:t>
      </w:r>
    </w:p>
    <w:p>
      <w:pPr>
        <w:numPr>
          <w:ilvl w:val="0"/>
          <w:numId w:val="1020"/>
        </w:numPr>
        <w:pStyle w:val="Compact"/>
      </w:pPr>
      <w:r>
        <w:t xml:space="preserve">Remove from groups</w:t>
      </w:r>
    </w:p>
    <w:p>
      <w:pPr>
        <w:numPr>
          <w:ilvl w:val="0"/>
          <w:numId w:val="1020"/>
        </w:numPr>
        <w:pStyle w:val="Compact"/>
      </w:pPr>
      <w:r>
        <w:t xml:space="preserve">Archive account data</w:t>
      </w:r>
    </w:p>
    <w:p>
      <w:pPr>
        <w:numPr>
          <w:ilvl w:val="0"/>
          <w:numId w:val="1020"/>
        </w:numPr>
        <w:pStyle w:val="Compact"/>
      </w:pPr>
      <w:r>
        <w:t xml:space="preserve">Update documentation</w:t>
      </w:r>
    </w:p>
    <w:bookmarkEnd w:id="39"/>
    <w:bookmarkEnd w:id="40"/>
    <w:bookmarkStart w:id="43" w:name="compliance-requirements"/>
    <w:p>
      <w:pPr>
        <w:pStyle w:val="Heading2"/>
      </w:pPr>
      <w:r>
        <w:t xml:space="preserve">Compliance Requirements</w:t>
      </w:r>
    </w:p>
    <w:bookmarkStart w:id="41" w:name="audit-trail"/>
    <w:p>
      <w:pPr>
        <w:pStyle w:val="Heading3"/>
      </w:pPr>
      <w:r>
        <w:t xml:space="preserve">Audit Trail</w:t>
      </w:r>
    </w:p>
    <w:p>
      <w:pPr>
        <w:numPr>
          <w:ilvl w:val="0"/>
          <w:numId w:val="1021"/>
        </w:numPr>
        <w:pStyle w:val="Compact"/>
      </w:pPr>
      <w:r>
        <w:t xml:space="preserve">All account changes logged</w:t>
      </w:r>
    </w:p>
    <w:p>
      <w:pPr>
        <w:numPr>
          <w:ilvl w:val="0"/>
          <w:numId w:val="1021"/>
        </w:numPr>
        <w:pStyle w:val="Compact"/>
      </w:pPr>
      <w:r>
        <w:t xml:space="preserve">Access usage tracking</w:t>
      </w:r>
    </w:p>
    <w:p>
      <w:pPr>
        <w:numPr>
          <w:ilvl w:val="0"/>
          <w:numId w:val="1021"/>
        </w:numPr>
        <w:pStyle w:val="Compact"/>
      </w:pPr>
      <w:r>
        <w:t xml:space="preserve">Regular compliance reports</w:t>
      </w:r>
    </w:p>
    <w:p>
      <w:pPr>
        <w:numPr>
          <w:ilvl w:val="0"/>
          <w:numId w:val="1021"/>
        </w:numPr>
        <w:pStyle w:val="Compact"/>
      </w:pPr>
      <w:r>
        <w:t xml:space="preserve">Retention per policy requirements</w:t>
      </w:r>
    </w:p>
    <w:bookmarkEnd w:id="41"/>
    <w:bookmarkStart w:id="42" w:name="segregation-of-duties"/>
    <w:p>
      <w:pPr>
        <w:pStyle w:val="Heading3"/>
      </w:pPr>
      <w:r>
        <w:t xml:space="preserve">Segregation of Duties</w:t>
      </w:r>
    </w:p>
    <w:p>
      <w:pPr>
        <w:numPr>
          <w:ilvl w:val="0"/>
          <w:numId w:val="1022"/>
        </w:numPr>
        <w:pStyle w:val="Compact"/>
      </w:pPr>
      <w:r>
        <w:t xml:space="preserve">Account creation vs. permission assignment</w:t>
      </w:r>
    </w:p>
    <w:p>
      <w:pPr>
        <w:numPr>
          <w:ilvl w:val="0"/>
          <w:numId w:val="1022"/>
        </w:numPr>
        <w:pStyle w:val="Compact"/>
      </w:pPr>
      <w:r>
        <w:t xml:space="preserve">Approval workflows</w:t>
      </w:r>
    </w:p>
    <w:p>
      <w:pPr>
        <w:numPr>
          <w:ilvl w:val="0"/>
          <w:numId w:val="1022"/>
        </w:numPr>
        <w:pStyle w:val="Compact"/>
      </w:pPr>
      <w:r>
        <w:t xml:space="preserve">Independent validation</w:t>
      </w:r>
    </w:p>
    <w:p>
      <w:pPr>
        <w:numPr>
          <w:ilvl w:val="0"/>
          <w:numId w:val="1022"/>
        </w:numPr>
        <w:pStyle w:val="Compact"/>
      </w:pPr>
      <w:r>
        <w:t xml:space="preserve">Audit oversight</w:t>
      </w:r>
    </w:p>
    <w:bookmarkEnd w:id="42"/>
    <w:bookmarkEnd w:id="43"/>
    <w:bookmarkStart w:id="46" w:name="emergency-procedures"/>
    <w:p>
      <w:pPr>
        <w:pStyle w:val="Heading2"/>
      </w:pPr>
      <w:r>
        <w:t xml:space="preserve">Emergency Procedures</w:t>
      </w:r>
    </w:p>
    <w:bookmarkStart w:id="44" w:name="emergency-account-creation"/>
    <w:p>
      <w:pPr>
        <w:pStyle w:val="Heading3"/>
      </w:pPr>
      <w:r>
        <w:t xml:space="preserve">Emergency Account Creation</w:t>
      </w:r>
    </w:p>
    <w:p>
      <w:pPr>
        <w:numPr>
          <w:ilvl w:val="0"/>
          <w:numId w:val="1023"/>
        </w:numPr>
        <w:pStyle w:val="Compact"/>
      </w:pPr>
      <w:r>
        <w:t xml:space="preserve">Expedited approval process</w:t>
      </w:r>
    </w:p>
    <w:p>
      <w:pPr>
        <w:numPr>
          <w:ilvl w:val="0"/>
          <w:numId w:val="1023"/>
        </w:numPr>
        <w:pStyle w:val="Compact"/>
      </w:pPr>
      <w:r>
        <w:t xml:space="preserve">Temporary elevated permissions</w:t>
      </w:r>
    </w:p>
    <w:p>
      <w:pPr>
        <w:numPr>
          <w:ilvl w:val="0"/>
          <w:numId w:val="1023"/>
        </w:numPr>
        <w:pStyle w:val="Compact"/>
      </w:pPr>
      <w:r>
        <w:t xml:space="preserve">Enhanced monitoring</w:t>
      </w:r>
    </w:p>
    <w:p>
      <w:pPr>
        <w:numPr>
          <w:ilvl w:val="0"/>
          <w:numId w:val="1023"/>
        </w:numPr>
        <w:pStyle w:val="Compact"/>
      </w:pPr>
      <w:r>
        <w:t xml:space="preserve">Mandatory review within 24 hours</w:t>
      </w:r>
    </w:p>
    <w:bookmarkEnd w:id="44"/>
    <w:bookmarkStart w:id="45" w:name="account-recovery"/>
    <w:p>
      <w:pPr>
        <w:pStyle w:val="Heading3"/>
      </w:pPr>
      <w:r>
        <w:t xml:space="preserve">Account Recovery</w:t>
      </w:r>
    </w:p>
    <w:p>
      <w:pPr>
        <w:numPr>
          <w:ilvl w:val="0"/>
          <w:numId w:val="1024"/>
        </w:numPr>
        <w:pStyle w:val="Compact"/>
      </w:pPr>
      <w:r>
        <w:t xml:space="preserve">Identity verification procedures</w:t>
      </w:r>
    </w:p>
    <w:p>
      <w:pPr>
        <w:numPr>
          <w:ilvl w:val="0"/>
          <w:numId w:val="1024"/>
        </w:numPr>
        <w:pStyle w:val="Compact"/>
      </w:pPr>
      <w:r>
        <w:t xml:space="preserve">MFA reset processes</w:t>
      </w:r>
    </w:p>
    <w:p>
      <w:pPr>
        <w:numPr>
          <w:ilvl w:val="0"/>
          <w:numId w:val="1024"/>
        </w:numPr>
        <w:pStyle w:val="Compact"/>
      </w:pPr>
      <w:r>
        <w:t xml:space="preserve">Temporary access provisions</w:t>
      </w:r>
    </w:p>
    <w:p>
      <w:pPr>
        <w:numPr>
          <w:ilvl w:val="0"/>
          <w:numId w:val="1024"/>
        </w:numPr>
        <w:pStyle w:val="Compact"/>
      </w:pPr>
      <w:r>
        <w:t xml:space="preserve">Security validation requirements</w:t>
      </w:r>
    </w:p>
    <w:bookmarkEnd w:id="45"/>
    <w:bookmarkEnd w:id="46"/>
    <w:bookmarkStart w:id="50" w:name="tools-and-integration"/>
    <w:p>
      <w:pPr>
        <w:pStyle w:val="Heading2"/>
      </w:pPr>
      <w:r>
        <w:t xml:space="preserve">Tools and Integration</w:t>
      </w:r>
    </w:p>
    <w:bookmarkStart w:id="47" w:name="aws-services"/>
    <w:p>
      <w:pPr>
        <w:pStyle w:val="Heading3"/>
      </w:pPr>
      <w:r>
        <w:t xml:space="preserve">AWS Services</w:t>
      </w:r>
    </w:p>
    <w:p>
      <w:pPr>
        <w:numPr>
          <w:ilvl w:val="0"/>
          <w:numId w:val="1025"/>
        </w:numPr>
        <w:pStyle w:val="Compact"/>
      </w:pPr>
      <w:r>
        <w:t xml:space="preserve">AWS IAM (infrastructure access)</w:t>
      </w:r>
    </w:p>
    <w:p>
      <w:pPr>
        <w:numPr>
          <w:ilvl w:val="0"/>
          <w:numId w:val="1025"/>
        </w:numPr>
        <w:pStyle w:val="Compact"/>
      </w:pPr>
      <w:r>
        <w:t xml:space="preserve">AWS Cognito (load balancer authentication)</w:t>
      </w:r>
    </w:p>
    <w:p>
      <w:pPr>
        <w:numPr>
          <w:ilvl w:val="0"/>
          <w:numId w:val="1025"/>
        </w:numPr>
        <w:pStyle w:val="Compact"/>
      </w:pPr>
      <w:r>
        <w:t xml:space="preserve">AWS Secrets Manager (password management)</w:t>
      </w:r>
    </w:p>
    <w:p>
      <w:pPr>
        <w:numPr>
          <w:ilvl w:val="0"/>
          <w:numId w:val="1025"/>
        </w:numPr>
        <w:pStyle w:val="Compact"/>
      </w:pPr>
      <w:r>
        <w:t xml:space="preserve">AWS SSM Session Manager (secure access)</w:t>
      </w:r>
    </w:p>
    <w:p>
      <w:pPr>
        <w:numPr>
          <w:ilvl w:val="0"/>
          <w:numId w:val="1025"/>
        </w:numPr>
        <w:pStyle w:val="Compact"/>
      </w:pPr>
      <w:r>
        <w:t xml:space="preserve">AWS CloudTrail (audit logging)</w:t>
      </w:r>
    </w:p>
    <w:bookmarkEnd w:id="47"/>
    <w:bookmarkStart w:id="48" w:name="uk-msvx-cps-services"/>
    <w:p>
      <w:pPr>
        <w:pStyle w:val="Heading3"/>
      </w:pPr>
      <w:r>
        <w:t xml:space="preserve">UK MSVX CPS Services</w:t>
      </w:r>
    </w:p>
    <w:p>
      <w:pPr>
        <w:numPr>
          <w:ilvl w:val="0"/>
          <w:numId w:val="1026"/>
        </w:numPr>
        <w:pStyle w:val="Compact"/>
      </w:pPr>
      <w:r>
        <w:t xml:space="preserve">OpenStack Keystone (identity service)</w:t>
      </w:r>
    </w:p>
    <w:p>
      <w:pPr>
        <w:numPr>
          <w:ilvl w:val="0"/>
          <w:numId w:val="1026"/>
        </w:numPr>
        <w:pStyle w:val="Compact"/>
      </w:pPr>
      <w:r>
        <w:t xml:space="preserve">RabbitMQ Management API (message broker users)</w:t>
      </w:r>
    </w:p>
    <w:p>
      <w:pPr>
        <w:numPr>
          <w:ilvl w:val="0"/>
          <w:numId w:val="1026"/>
        </w:numPr>
        <w:pStyle w:val="Compact"/>
      </w:pPr>
      <w:r>
        <w:t xml:space="preserve">CSO Application (end-user management)</w:t>
      </w:r>
    </w:p>
    <w:p>
      <w:pPr>
        <w:numPr>
          <w:ilvl w:val="0"/>
          <w:numId w:val="1026"/>
        </w:numPr>
        <w:pStyle w:val="Compact"/>
      </w:pPr>
      <w:r>
        <w:t xml:space="preserve">RDS MySQL (database authentication)</w:t>
      </w:r>
    </w:p>
    <w:bookmarkEnd w:id="48"/>
    <w:bookmarkStart w:id="49" w:name="third-party-tools"/>
    <w:p>
      <w:pPr>
        <w:pStyle w:val="Heading3"/>
      </w:pPr>
      <w:r>
        <w:t xml:space="preserve">Third-party Tools</w:t>
      </w:r>
    </w:p>
    <w:p>
      <w:pPr>
        <w:numPr>
          <w:ilvl w:val="0"/>
          <w:numId w:val="1027"/>
        </w:numPr>
        <w:pStyle w:val="Compact"/>
      </w:pPr>
      <w:r>
        <w:t xml:space="preserve">Terraform (infrastructure as code)</w:t>
      </w:r>
    </w:p>
    <w:p>
      <w:pPr>
        <w:numPr>
          <w:ilvl w:val="0"/>
          <w:numId w:val="1027"/>
        </w:numPr>
        <w:pStyle w:val="Compact"/>
      </w:pPr>
      <w:r>
        <w:t xml:space="preserve">ITSM systems (ServiceNow, Jira)</w:t>
      </w:r>
    </w:p>
    <w:p>
      <w:pPr>
        <w:numPr>
          <w:ilvl w:val="0"/>
          <w:numId w:val="1027"/>
        </w:numPr>
        <w:pStyle w:val="Compact"/>
      </w:pPr>
      <w:r>
        <w:t xml:space="preserve">Monitoring tools (CloudWatch, application logs)</w:t>
      </w:r>
    </w:p>
    <w:p>
      <w:pPr>
        <w:numPr>
          <w:ilvl w:val="0"/>
          <w:numId w:val="1027"/>
        </w:numPr>
        <w:pStyle w:val="Compact"/>
      </w:pPr>
      <w:r>
        <w:t xml:space="preserve">Compliance platforms</w:t>
      </w:r>
    </w:p>
    <w:bookmarkEnd w:id="49"/>
    <w:bookmarkEnd w:id="50"/>
    <w:bookmarkStart w:id="53" w:name="metrics-and-reporting"/>
    <w:p>
      <w:pPr>
        <w:pStyle w:val="Heading2"/>
      </w:pPr>
      <w:r>
        <w:t xml:space="preserve">Metrics and Reporting</w:t>
      </w:r>
    </w:p>
    <w:bookmarkStart w:id="51" w:name="key-performance-indicators"/>
    <w:p>
      <w:pPr>
        <w:pStyle w:val="Heading3"/>
      </w:pPr>
      <w:r>
        <w:t xml:space="preserve">Key Performance Indicators</w:t>
      </w:r>
    </w:p>
    <w:p>
      <w:pPr>
        <w:numPr>
          <w:ilvl w:val="0"/>
          <w:numId w:val="1028"/>
        </w:numPr>
        <w:pStyle w:val="Compact"/>
      </w:pPr>
      <w:r>
        <w:t xml:space="preserve">Account provisioning time</w:t>
      </w:r>
    </w:p>
    <w:p>
      <w:pPr>
        <w:numPr>
          <w:ilvl w:val="0"/>
          <w:numId w:val="1028"/>
        </w:numPr>
        <w:pStyle w:val="Compact"/>
      </w:pPr>
      <w:r>
        <w:t xml:space="preserve">Deactivation compliance rate</w:t>
      </w:r>
    </w:p>
    <w:p>
      <w:pPr>
        <w:numPr>
          <w:ilvl w:val="0"/>
          <w:numId w:val="1028"/>
        </w:numPr>
        <w:pStyle w:val="Compact"/>
      </w:pPr>
      <w:r>
        <w:t xml:space="preserve">MFA adoption percentage</w:t>
      </w:r>
    </w:p>
    <w:p>
      <w:pPr>
        <w:numPr>
          <w:ilvl w:val="0"/>
          <w:numId w:val="1028"/>
        </w:numPr>
        <w:pStyle w:val="Compact"/>
      </w:pPr>
      <w:r>
        <w:t xml:space="preserve">Access review completion rate</w:t>
      </w:r>
    </w:p>
    <w:bookmarkEnd w:id="51"/>
    <w:bookmarkStart w:id="52" w:name="regular-reports"/>
    <w:p>
      <w:pPr>
        <w:pStyle w:val="Heading3"/>
      </w:pPr>
      <w:r>
        <w:t xml:space="preserve">Regular Reports</w:t>
      </w:r>
    </w:p>
    <w:p>
      <w:pPr>
        <w:numPr>
          <w:ilvl w:val="0"/>
          <w:numId w:val="1029"/>
        </w:numPr>
        <w:pStyle w:val="Compact"/>
      </w:pPr>
      <w:r>
        <w:t xml:space="preserve">Monthly account status report</w:t>
      </w:r>
    </w:p>
    <w:p>
      <w:pPr>
        <w:numPr>
          <w:ilvl w:val="0"/>
          <w:numId w:val="1029"/>
        </w:numPr>
        <w:pStyle w:val="Compact"/>
      </w:pPr>
      <w:r>
        <w:t xml:space="preserve">Quarterly access review summary</w:t>
      </w:r>
    </w:p>
    <w:p>
      <w:pPr>
        <w:numPr>
          <w:ilvl w:val="0"/>
          <w:numId w:val="1029"/>
        </w:numPr>
        <w:pStyle w:val="Compact"/>
      </w:pPr>
      <w:r>
        <w:t xml:space="preserve">Annual compliance certification</w:t>
      </w:r>
    </w:p>
    <w:p>
      <w:pPr>
        <w:numPr>
          <w:ilvl w:val="0"/>
          <w:numId w:val="1029"/>
        </w:numPr>
        <w:pStyle w:val="Compact"/>
      </w:pPr>
      <w:r>
        <w:t xml:space="preserve">Security incident correlation</w:t>
      </w:r>
    </w:p>
    <w:bookmarkEnd w:id="52"/>
    <w:bookmarkEnd w:id="53"/>
    <w:bookmarkStart w:id="57" w:name="uk-msvx-cps-specific-account-management"/>
    <w:p>
      <w:pPr>
        <w:pStyle w:val="Heading2"/>
      </w:pPr>
      <w:r>
        <w:t xml:space="preserve">UK MSVX CPS Specific Account Management</w:t>
      </w:r>
    </w:p>
    <w:bookmarkStart w:id="54" w:name="environment-specific-considerations"/>
    <w:p>
      <w:pPr>
        <w:pStyle w:val="Heading3"/>
      </w:pPr>
      <w:r>
        <w:t xml:space="preserve">Environment-Specific Considerations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Development</w:t>
      </w:r>
      <w:r>
        <w:t xml:space="preserve">: Single-node with simplified access controls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Staging</w:t>
      </w:r>
      <w:r>
        <w:t xml:space="preserve">: HA deployment with Cognito authentication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Production</w:t>
      </w:r>
      <w:r>
        <w:t xml:space="preserve">: Full security controls with Multi-AZ deployment</w:t>
      </w:r>
    </w:p>
    <w:bookmarkEnd w:id="54"/>
    <w:bookmarkStart w:id="55" w:name="service-integration"/>
    <w:p>
      <w:pPr>
        <w:pStyle w:val="Heading3"/>
      </w:pPr>
      <w:r>
        <w:t xml:space="preserve">Service Integration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Keystone-CSO Integration</w:t>
      </w:r>
      <w:r>
        <w:t xml:space="preserve">: Keystone provides authentication for CSO application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RabbitMQ User Management</w:t>
      </w:r>
      <w:r>
        <w:t xml:space="preserve">: Service users for message queuing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Database Access</w:t>
      </w:r>
      <w:r>
        <w:t xml:space="preserve">: RDS MySQL with managed passwords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EFS Access</w:t>
      </w:r>
      <w:r>
        <w:t xml:space="preserve">: Shared file system permissions for configuration</w:t>
      </w:r>
    </w:p>
    <w:bookmarkEnd w:id="55"/>
    <w:bookmarkStart w:id="56" w:name="terraform-workspace-integration"/>
    <w:p>
      <w:pPr>
        <w:pStyle w:val="Heading3"/>
      </w:pPr>
      <w:r>
        <w:t xml:space="preserve">Terraform Workspace Integration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Environment Isolation</w:t>
      </w:r>
      <w:r>
        <w:t xml:space="preserve">: Separate user contexts per workspace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Resource Tagging</w:t>
      </w:r>
      <w:r>
        <w:t xml:space="preserve">: Consistent tagging for user tracking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State Management</w:t>
      </w:r>
      <w:r>
        <w:t xml:space="preserve">: Secure access to Terraform state</w:t>
      </w:r>
    </w:p>
    <w:bookmarkEnd w:id="56"/>
    <w:bookmarkEnd w:id="57"/>
    <w:bookmarkStart w:id="64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33"/>
        </w:numPr>
        <w:pStyle w:val="Compact"/>
      </w:pPr>
      <w:hyperlink r:id="rId58">
        <w:r>
          <w:rPr>
            <w:rStyle w:val="Hyperlink"/>
          </w:rPr>
          <w:t xml:space="preserve">JML Processes</w:t>
        </w:r>
      </w:hyperlink>
    </w:p>
    <w:p>
      <w:pPr>
        <w:numPr>
          <w:ilvl w:val="0"/>
          <w:numId w:val="1033"/>
        </w:numPr>
        <w:pStyle w:val="Compact"/>
      </w:pPr>
      <w:hyperlink r:id="rId59">
        <w:r>
          <w:rPr>
            <w:rStyle w:val="Hyperlink"/>
          </w:rPr>
          <w:t xml:space="preserve">AWS Infrastructure Access</w:t>
        </w:r>
      </w:hyperlink>
    </w:p>
    <w:p>
      <w:pPr>
        <w:numPr>
          <w:ilvl w:val="0"/>
          <w:numId w:val="1033"/>
        </w:numPr>
        <w:pStyle w:val="Compact"/>
      </w:pPr>
      <w:hyperlink r:id="rId60">
        <w:r>
          <w:rPr>
            <w:rStyle w:val="Hyperlink"/>
          </w:rPr>
          <w:t xml:space="preserve">Emergency Access Procedures</w:t>
        </w:r>
      </w:hyperlink>
    </w:p>
    <w:p>
      <w:pPr>
        <w:numPr>
          <w:ilvl w:val="0"/>
          <w:numId w:val="1033"/>
        </w:numPr>
        <w:pStyle w:val="Compact"/>
      </w:pPr>
      <w:hyperlink r:id="rId61">
        <w:r>
          <w:rPr>
            <w:rStyle w:val="Hyperlink"/>
          </w:rPr>
          <w:t xml:space="preserve">Compliance and Audit</w:t>
        </w:r>
      </w:hyperlink>
    </w:p>
    <w:p>
      <w:pPr>
        <w:numPr>
          <w:ilvl w:val="0"/>
          <w:numId w:val="1033"/>
        </w:numPr>
        <w:pStyle w:val="Compact"/>
      </w:pPr>
      <w:hyperlink r:id="rId62">
        <w:r>
          <w:rPr>
            <w:rStyle w:val="Hyperlink"/>
          </w:rPr>
          <w:t xml:space="preserve">UK MSVX CPS Architecture</w:t>
        </w:r>
      </w:hyperlink>
    </w:p>
    <w:p>
      <w:pPr>
        <w:numPr>
          <w:ilvl w:val="0"/>
          <w:numId w:val="1033"/>
        </w:numPr>
        <w:pStyle w:val="Compact"/>
      </w:pPr>
      <w:hyperlink r:id="rId63">
        <w:r>
          <w:rPr>
            <w:rStyle w:val="Hyperlink"/>
          </w:rPr>
          <w:t xml:space="preserve">Terraform Deployment Guide</w:t>
        </w:r>
      </w:hyperlink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../../readme/HLD.md" TargetMode="External" /><Relationship Type="http://schemas.openxmlformats.org/officeDocument/2006/relationships/hyperlink" Id="rId63" Target="../../readme/README.md" TargetMode="External" /><Relationship Type="http://schemas.openxmlformats.org/officeDocument/2006/relationships/hyperlink" Id="rId59" Target="./aws-infrastructure-access.md" TargetMode="External" /><Relationship Type="http://schemas.openxmlformats.org/officeDocument/2006/relationships/hyperlink" Id="rId61" Target="./compliance-audit.md" TargetMode="External" /><Relationship Type="http://schemas.openxmlformats.org/officeDocument/2006/relationships/hyperlink" Id="rId60" Target="./emergency-access.md" TargetMode="External" /><Relationship Type="http://schemas.openxmlformats.org/officeDocument/2006/relationships/hyperlink" Id="rId58" Target="./jml-processe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../../readme/HLD.md" TargetMode="External" /><Relationship Type="http://schemas.openxmlformats.org/officeDocument/2006/relationships/hyperlink" Id="rId63" Target="../../readme/README.md" TargetMode="External" /><Relationship Type="http://schemas.openxmlformats.org/officeDocument/2006/relationships/hyperlink" Id="rId59" Target="./aws-infrastructure-access.md" TargetMode="External" /><Relationship Type="http://schemas.openxmlformats.org/officeDocument/2006/relationships/hyperlink" Id="rId61" Target="./compliance-audit.md" TargetMode="External" /><Relationship Type="http://schemas.openxmlformats.org/officeDocument/2006/relationships/hyperlink" Id="rId60" Target="./emergency-access.md" TargetMode="External" /><Relationship Type="http://schemas.openxmlformats.org/officeDocument/2006/relationships/hyperlink" Id="rId58" Target="./jml-processe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2026-01-19T11:11:55Z</dcterms:created>
  <dcterms:modified xsi:type="dcterms:W3CDTF">2026-01-19T11:11:55Z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