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security-policies"/>
    <w:p>
      <w:pPr>
        <w:pStyle w:val="Heading1"/>
      </w:pPr>
      <w:r>
        <w:t xml:space="preserve">Security Policies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Comprehensive security policies framework supporting access management, AWS infrastructure security, and regulatory compliance requirements.</w:t>
      </w:r>
    </w:p>
    <w:bookmarkEnd w:id="20"/>
    <w:bookmarkStart w:id="36" w:name="policy-framework"/>
    <w:p>
      <w:pPr>
        <w:pStyle w:val="Heading2"/>
      </w:pPr>
      <w:r>
        <w:t xml:space="preserve">Policy Framework</w:t>
      </w:r>
    </w:p>
    <w:bookmarkStart w:id="25" w:name="core-security-policies"/>
    <w:p>
      <w:pPr>
        <w:pStyle w:val="Heading3"/>
      </w:pPr>
      <w:r>
        <w:t xml:space="preserve">Core Security Policies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Information Security Policy</w:t>
        </w:r>
      </w:hyperlink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Access Control Policy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Data Classification and Handling Policy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Incident Response Policy</w:t>
        </w:r>
      </w:hyperlink>
    </w:p>
    <w:bookmarkEnd w:id="25"/>
    <w:bookmarkStart w:id="30" w:name="aws-specific-policies"/>
    <w:p>
      <w:pPr>
        <w:pStyle w:val="Heading3"/>
      </w:pPr>
      <w:r>
        <w:t xml:space="preserve">AWS-Specific Policies</w:t>
      </w:r>
    </w:p>
    <w:p>
      <w:pPr>
        <w:numPr>
          <w:ilvl w:val="0"/>
          <w:numId w:val="1002"/>
        </w:numPr>
        <w:pStyle w:val="Compact"/>
      </w:pPr>
      <w:hyperlink r:id="rId26">
        <w:r>
          <w:rPr>
            <w:rStyle w:val="Hyperlink"/>
          </w:rPr>
          <w:t xml:space="preserve">Cloud Security Policy</w:t>
        </w:r>
      </w:hyperlink>
    </w:p>
    <w:p>
      <w:pPr>
        <w:numPr>
          <w:ilvl w:val="0"/>
          <w:numId w:val="1002"/>
        </w:numPr>
        <w:pStyle w:val="Compact"/>
      </w:pPr>
      <w:hyperlink r:id="rId27">
        <w:r>
          <w:rPr>
            <w:rStyle w:val="Hyperlink"/>
          </w:rPr>
          <w:t xml:space="preserve">AWS Account Management Policy</w:t>
        </w:r>
      </w:hyperlink>
    </w:p>
    <w:p>
      <w:pPr>
        <w:numPr>
          <w:ilvl w:val="0"/>
          <w:numId w:val="1002"/>
        </w:numPr>
        <w:pStyle w:val="Compact"/>
      </w:pPr>
      <w:hyperlink r:id="rId28">
        <w:r>
          <w:rPr>
            <w:rStyle w:val="Hyperlink"/>
          </w:rPr>
          <w:t xml:space="preserve">Infrastructure as Code Policy</w:t>
        </w:r>
      </w:hyperlink>
    </w:p>
    <w:p>
      <w:pPr>
        <w:numPr>
          <w:ilvl w:val="0"/>
          <w:numId w:val="1002"/>
        </w:numPr>
        <w:pStyle w:val="Compact"/>
      </w:pPr>
      <w:hyperlink r:id="rId29">
        <w:r>
          <w:rPr>
            <w:rStyle w:val="Hyperlink"/>
          </w:rPr>
          <w:t xml:space="preserve">Cloud Data Protection Policy</w:t>
        </w:r>
      </w:hyperlink>
    </w:p>
    <w:bookmarkEnd w:id="30"/>
    <w:bookmarkStart w:id="35" w:name="operational-policies"/>
    <w:p>
      <w:pPr>
        <w:pStyle w:val="Heading3"/>
      </w:pPr>
      <w:r>
        <w:t xml:space="preserve">Operational Policies</w:t>
      </w:r>
    </w:p>
    <w:p>
      <w:pPr>
        <w:numPr>
          <w:ilvl w:val="0"/>
          <w:numId w:val="1003"/>
        </w:numPr>
        <w:pStyle w:val="Compact"/>
      </w:pPr>
      <w:hyperlink r:id="rId31">
        <w:r>
          <w:rPr>
            <w:rStyle w:val="Hyperlink"/>
          </w:rPr>
          <w:t xml:space="preserve">Change Management Policy</w:t>
        </w:r>
      </w:hyperlink>
    </w:p>
    <w:p>
      <w:pPr>
        <w:numPr>
          <w:ilvl w:val="0"/>
          <w:numId w:val="1003"/>
        </w:numPr>
        <w:pStyle w:val="Compact"/>
      </w:pPr>
      <w:hyperlink r:id="rId32">
        <w:r>
          <w:rPr>
            <w:rStyle w:val="Hyperlink"/>
          </w:rPr>
          <w:t xml:space="preserve">Vendor Risk Management Policy</w:t>
        </w:r>
      </w:hyperlink>
    </w:p>
    <w:p>
      <w:pPr>
        <w:numPr>
          <w:ilvl w:val="0"/>
          <w:numId w:val="1003"/>
        </w:numPr>
        <w:pStyle w:val="Compact"/>
      </w:pPr>
      <w:hyperlink r:id="rId33">
        <w:r>
          <w:rPr>
            <w:rStyle w:val="Hyperlink"/>
          </w:rPr>
          <w:t xml:space="preserve">Business Continuity Policy</w:t>
        </w:r>
      </w:hyperlink>
    </w:p>
    <w:p>
      <w:pPr>
        <w:numPr>
          <w:ilvl w:val="0"/>
          <w:numId w:val="1003"/>
        </w:numPr>
        <w:pStyle w:val="Compact"/>
      </w:pPr>
      <w:hyperlink r:id="rId34">
        <w:r>
          <w:rPr>
            <w:rStyle w:val="Hyperlink"/>
          </w:rPr>
          <w:t xml:space="preserve">Security Awareness Training Policy</w:t>
        </w:r>
      </w:hyperlink>
    </w:p>
    <w:bookmarkEnd w:id="35"/>
    <w:bookmarkEnd w:id="36"/>
    <w:bookmarkStart w:id="40" w:name="policy-governance"/>
    <w:p>
      <w:pPr>
        <w:pStyle w:val="Heading2"/>
      </w:pPr>
      <w:r>
        <w:t xml:space="preserve">Policy Governance</w:t>
      </w:r>
    </w:p>
    <w:bookmarkStart w:id="37" w:name="policy-development-process"/>
    <w:p>
      <w:pPr>
        <w:pStyle w:val="Heading3"/>
      </w:pPr>
      <w:r>
        <w:t xml:space="preserve">Policy Development Process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Needs Assessment</w:t>
      </w:r>
      <w:r>
        <w:t xml:space="preserve">: Identify policy requirements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Stakeholder Consultation</w:t>
      </w:r>
      <w:r>
        <w:t xml:space="preserve">: Gather input from relevant teams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Draft Development</w:t>
      </w:r>
      <w:r>
        <w:t xml:space="preserve">: Create initial policy draft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Review and Approval</w:t>
      </w:r>
      <w:r>
        <w:t xml:space="preserve">: Management and legal review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Implementation</w:t>
      </w:r>
      <w:r>
        <w:t xml:space="preserve">: Deploy and communicate policy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Monitoring</w:t>
      </w:r>
      <w:r>
        <w:t xml:space="preserve">: Track compliance and effectiveness</w:t>
      </w:r>
    </w:p>
    <w:bookmarkEnd w:id="37"/>
    <w:bookmarkStart w:id="38" w:name="policy-review-cycle"/>
    <w:p>
      <w:pPr>
        <w:pStyle w:val="Heading3"/>
      </w:pPr>
      <w:r>
        <w:t xml:space="preserve">Policy Review Cycle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Annual Review</w:t>
      </w:r>
      <w:r>
        <w:t xml:space="preserve">: Comprehensive policy assessment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Triggered Reviews</w:t>
      </w:r>
      <w:r>
        <w:t xml:space="preserve">: Based on regulatory changes or incidents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Continuous Monitoring</w:t>
      </w:r>
      <w:r>
        <w:t xml:space="preserve">: Ongoing compliance tracking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Update Process</w:t>
      </w:r>
      <w:r>
        <w:t xml:space="preserve">: Version control and change management</w:t>
      </w:r>
    </w:p>
    <w:bookmarkEnd w:id="38"/>
    <w:bookmarkStart w:id="39" w:name="policy-approval-authority"/>
    <w:p>
      <w:pPr>
        <w:pStyle w:val="Heading3"/>
      </w:pPr>
      <w:r>
        <w:t xml:space="preserve">Policy Approval Authority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CISO</w:t>
      </w:r>
      <w:r>
        <w:t xml:space="preserve">: Security policies and standards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CTO</w:t>
      </w:r>
      <w:r>
        <w:t xml:space="preserve">: Technology and infrastructure policies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Legal</w:t>
      </w:r>
      <w:r>
        <w:t xml:space="preserve">: Regulatory and compliance policies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CEO</w:t>
      </w:r>
      <w:r>
        <w:t xml:space="preserve">: Enterprise-wide strategic policies</w:t>
      </w:r>
    </w:p>
    <w:bookmarkEnd w:id="39"/>
    <w:bookmarkEnd w:id="40"/>
    <w:bookmarkStart w:id="44" w:name="policy-implementation"/>
    <w:p>
      <w:pPr>
        <w:pStyle w:val="Heading2"/>
      </w:pPr>
      <w:r>
        <w:t xml:space="preserve">Policy Implementation</w:t>
      </w:r>
    </w:p>
    <w:bookmarkStart w:id="41" w:name="communication-strategy"/>
    <w:p>
      <w:pPr>
        <w:pStyle w:val="Heading3"/>
      </w:pPr>
      <w:r>
        <w:t xml:space="preserve">Communication Strategy</w:t>
      </w:r>
    </w:p>
    <w:p>
      <w:pPr>
        <w:numPr>
          <w:ilvl w:val="0"/>
          <w:numId w:val="1007"/>
        </w:numPr>
        <w:pStyle w:val="Compact"/>
      </w:pPr>
      <w:r>
        <w:t xml:space="preserve">Policy publication and distribution</w:t>
      </w:r>
    </w:p>
    <w:p>
      <w:pPr>
        <w:numPr>
          <w:ilvl w:val="0"/>
          <w:numId w:val="1007"/>
        </w:numPr>
        <w:pStyle w:val="Compact"/>
      </w:pPr>
      <w:r>
        <w:t xml:space="preserve">Training and awareness programs</w:t>
      </w:r>
    </w:p>
    <w:p>
      <w:pPr>
        <w:numPr>
          <w:ilvl w:val="0"/>
          <w:numId w:val="1007"/>
        </w:numPr>
        <w:pStyle w:val="Compact"/>
      </w:pPr>
      <w:r>
        <w:t xml:space="preserve">Regular reminders and updates</w:t>
      </w:r>
    </w:p>
    <w:p>
      <w:pPr>
        <w:numPr>
          <w:ilvl w:val="0"/>
          <w:numId w:val="1007"/>
        </w:numPr>
        <w:pStyle w:val="Compact"/>
      </w:pPr>
      <w:r>
        <w:t xml:space="preserve">Feedback collection and incorporation</w:t>
      </w:r>
    </w:p>
    <w:bookmarkEnd w:id="41"/>
    <w:bookmarkStart w:id="42" w:name="compliance-monitoring"/>
    <w:p>
      <w:pPr>
        <w:pStyle w:val="Heading3"/>
      </w:pPr>
      <w:r>
        <w:t xml:space="preserve">Compliance Monitoring</w:t>
      </w:r>
    </w:p>
    <w:p>
      <w:pPr>
        <w:numPr>
          <w:ilvl w:val="0"/>
          <w:numId w:val="1008"/>
        </w:numPr>
        <w:pStyle w:val="Compact"/>
      </w:pPr>
      <w:r>
        <w:t xml:space="preserve">Automated policy compliance checking</w:t>
      </w:r>
    </w:p>
    <w:p>
      <w:pPr>
        <w:numPr>
          <w:ilvl w:val="0"/>
          <w:numId w:val="1008"/>
        </w:numPr>
        <w:pStyle w:val="Compact"/>
      </w:pPr>
      <w:r>
        <w:t xml:space="preserve">Regular audit and assessment</w:t>
      </w:r>
    </w:p>
    <w:p>
      <w:pPr>
        <w:numPr>
          <w:ilvl w:val="0"/>
          <w:numId w:val="1008"/>
        </w:numPr>
        <w:pStyle w:val="Compact"/>
      </w:pPr>
      <w:r>
        <w:t xml:space="preserve">Exception tracking and management</w:t>
      </w:r>
    </w:p>
    <w:p>
      <w:pPr>
        <w:numPr>
          <w:ilvl w:val="0"/>
          <w:numId w:val="1008"/>
        </w:numPr>
        <w:pStyle w:val="Compact"/>
      </w:pPr>
      <w:r>
        <w:t xml:space="preserve">Corrective action planning</w:t>
      </w:r>
    </w:p>
    <w:bookmarkEnd w:id="42"/>
    <w:bookmarkStart w:id="43" w:name="enforcement-mechanisms"/>
    <w:p>
      <w:pPr>
        <w:pStyle w:val="Heading3"/>
      </w:pPr>
      <w:r>
        <w:t xml:space="preserve">Enforcement Mechanisms</w:t>
      </w:r>
    </w:p>
    <w:p>
      <w:pPr>
        <w:numPr>
          <w:ilvl w:val="0"/>
          <w:numId w:val="1009"/>
        </w:numPr>
        <w:pStyle w:val="Compact"/>
      </w:pPr>
      <w:r>
        <w:t xml:space="preserve">Disciplinary procedures for violations</w:t>
      </w:r>
    </w:p>
    <w:p>
      <w:pPr>
        <w:numPr>
          <w:ilvl w:val="0"/>
          <w:numId w:val="1009"/>
        </w:numPr>
        <w:pStyle w:val="Compact"/>
      </w:pPr>
      <w:r>
        <w:t xml:space="preserve">System-based controls and restrictions</w:t>
      </w:r>
    </w:p>
    <w:p>
      <w:pPr>
        <w:numPr>
          <w:ilvl w:val="0"/>
          <w:numId w:val="1009"/>
        </w:numPr>
        <w:pStyle w:val="Compact"/>
      </w:pPr>
      <w:r>
        <w:t xml:space="preserve">Regular compliance reporting</w:t>
      </w:r>
    </w:p>
    <w:p>
      <w:pPr>
        <w:numPr>
          <w:ilvl w:val="0"/>
          <w:numId w:val="1009"/>
        </w:numPr>
        <w:pStyle w:val="Compact"/>
      </w:pPr>
      <w:r>
        <w:t xml:space="preserve">Escalation procedures</w:t>
      </w:r>
    </w:p>
    <w:bookmarkEnd w:id="43"/>
    <w:bookmarkEnd w:id="44"/>
    <w:bookmarkStart w:id="48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10"/>
        </w:numPr>
        <w:pStyle w:val="Compact"/>
      </w:pPr>
      <w:hyperlink r:id="rId45">
        <w:r>
          <w:rPr>
            <w:rStyle w:val="Hyperlink"/>
          </w:rPr>
          <w:t xml:space="preserve">Access Management</w:t>
        </w:r>
      </w:hyperlink>
    </w:p>
    <w:p>
      <w:pPr>
        <w:numPr>
          <w:ilvl w:val="0"/>
          <w:numId w:val="1010"/>
        </w:numPr>
        <w:pStyle w:val="Compact"/>
      </w:pPr>
      <w:hyperlink r:id="rId46">
        <w:r>
          <w:rPr>
            <w:rStyle w:val="Hyperlink"/>
          </w:rPr>
          <w:t xml:space="preserve">JML Processes</w:t>
        </w:r>
      </w:hyperlink>
    </w:p>
    <w:p>
      <w:pPr>
        <w:numPr>
          <w:ilvl w:val="0"/>
          <w:numId w:val="1010"/>
        </w:numPr>
        <w:pStyle w:val="Compact"/>
      </w:pPr>
      <w:hyperlink r:id="rId47">
        <w:r>
          <w:rPr>
            <w:rStyle w:val="Hyperlink"/>
          </w:rPr>
          <w:t xml:space="preserve">Compliance and Audit</w:t>
        </w:r>
      </w:hyperlink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../access-management/README.md" TargetMode="External" /><Relationship Type="http://schemas.openxmlformats.org/officeDocument/2006/relationships/hyperlink" Id="rId47" Target="../access-management/compliance-audit.md" TargetMode="External" /><Relationship Type="http://schemas.openxmlformats.org/officeDocument/2006/relationships/hyperlink" Id="rId46" Target="../access-management/jml-processes/README.md" TargetMode="External" /><Relationship Type="http://schemas.openxmlformats.org/officeDocument/2006/relationships/hyperlink" Id="rId22" Target="./access-control-policy.md" TargetMode="External" /><Relationship Type="http://schemas.openxmlformats.org/officeDocument/2006/relationships/hyperlink" Id="rId27" Target="./aws-account-management-policy.md" TargetMode="External" /><Relationship Type="http://schemas.openxmlformats.org/officeDocument/2006/relationships/hyperlink" Id="rId33" Target="./business-continuity-policy.md" TargetMode="External" /><Relationship Type="http://schemas.openxmlformats.org/officeDocument/2006/relationships/hyperlink" Id="rId31" Target="./change-management-policy.md" TargetMode="External" /><Relationship Type="http://schemas.openxmlformats.org/officeDocument/2006/relationships/hyperlink" Id="rId29" Target="./cloud-data-protection-policy.md" TargetMode="External" /><Relationship Type="http://schemas.openxmlformats.org/officeDocument/2006/relationships/hyperlink" Id="rId26" Target="./cloud-security-policy.md" TargetMode="External" /><Relationship Type="http://schemas.openxmlformats.org/officeDocument/2006/relationships/hyperlink" Id="rId23" Target="./data-classification-policy.md" TargetMode="External" /><Relationship Type="http://schemas.openxmlformats.org/officeDocument/2006/relationships/hyperlink" Id="rId24" Target="./incident-response-policy.md" TargetMode="External" /><Relationship Type="http://schemas.openxmlformats.org/officeDocument/2006/relationships/hyperlink" Id="rId21" Target="./information-security-policy.md" TargetMode="External" /><Relationship Type="http://schemas.openxmlformats.org/officeDocument/2006/relationships/hyperlink" Id="rId28" Target="./infrastructure-as-code-policy.md" TargetMode="External" /><Relationship Type="http://schemas.openxmlformats.org/officeDocument/2006/relationships/hyperlink" Id="rId34" Target="./security-awareness-training-policy.md" TargetMode="External" /><Relationship Type="http://schemas.openxmlformats.org/officeDocument/2006/relationships/hyperlink" Id="rId32" Target="./vendor-risk-management-polic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../access-management/README.md" TargetMode="External" /><Relationship Type="http://schemas.openxmlformats.org/officeDocument/2006/relationships/hyperlink" Id="rId47" Target="../access-management/compliance-audit.md" TargetMode="External" /><Relationship Type="http://schemas.openxmlformats.org/officeDocument/2006/relationships/hyperlink" Id="rId46" Target="../access-management/jml-processes/README.md" TargetMode="External" /><Relationship Type="http://schemas.openxmlformats.org/officeDocument/2006/relationships/hyperlink" Id="rId22" Target="./access-control-policy.md" TargetMode="External" /><Relationship Type="http://schemas.openxmlformats.org/officeDocument/2006/relationships/hyperlink" Id="rId27" Target="./aws-account-management-policy.md" TargetMode="External" /><Relationship Type="http://schemas.openxmlformats.org/officeDocument/2006/relationships/hyperlink" Id="rId33" Target="./business-continuity-policy.md" TargetMode="External" /><Relationship Type="http://schemas.openxmlformats.org/officeDocument/2006/relationships/hyperlink" Id="rId31" Target="./change-management-policy.md" TargetMode="External" /><Relationship Type="http://schemas.openxmlformats.org/officeDocument/2006/relationships/hyperlink" Id="rId29" Target="./cloud-data-protection-policy.md" TargetMode="External" /><Relationship Type="http://schemas.openxmlformats.org/officeDocument/2006/relationships/hyperlink" Id="rId26" Target="./cloud-security-policy.md" TargetMode="External" /><Relationship Type="http://schemas.openxmlformats.org/officeDocument/2006/relationships/hyperlink" Id="rId23" Target="./data-classification-policy.md" TargetMode="External" /><Relationship Type="http://schemas.openxmlformats.org/officeDocument/2006/relationships/hyperlink" Id="rId24" Target="./incident-response-policy.md" TargetMode="External" /><Relationship Type="http://schemas.openxmlformats.org/officeDocument/2006/relationships/hyperlink" Id="rId21" Target="./information-security-policy.md" TargetMode="External" /><Relationship Type="http://schemas.openxmlformats.org/officeDocument/2006/relationships/hyperlink" Id="rId28" Target="./infrastructure-as-code-policy.md" TargetMode="External" /><Relationship Type="http://schemas.openxmlformats.org/officeDocument/2006/relationships/hyperlink" Id="rId34" Target="./security-awareness-training-policy.md" TargetMode="External" /><Relationship Type="http://schemas.openxmlformats.org/officeDocument/2006/relationships/hyperlink" Id="rId32" Target="./vendor-risk-management-polic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2026-01-19T11:11:55Z</dcterms:created>
  <dcterms:modified xsi:type="dcterms:W3CDTF">2026-01-19T11:11:55Z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