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Xe2893dcf62912c306f1ec2e632f29a1ef851d33"/>
    <w:p>
      <w:pPr>
        <w:pStyle w:val="Heading1"/>
      </w:pPr>
      <w:r>
        <w:t xml:space="preserve">UK MSVX CPS Infrastructure Access Management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Comprehensive framework for managing access to the UK MSVX CPS (Chief Security Officer Shared Services Portal) infrastructure, including AWS resources, Keystone identity services, and multi-tier application access.</w:t>
      </w:r>
    </w:p>
    <w:bookmarkEnd w:id="20"/>
    <w:bookmarkStart w:id="24" w:name="access-architecture"/>
    <w:p>
      <w:pPr>
        <w:pStyle w:val="Heading2"/>
      </w:pPr>
      <w:r>
        <w:t xml:space="preserve">Access Architecture</w:t>
      </w:r>
    </w:p>
    <w:bookmarkStart w:id="21" w:name="uk-msvx-cps-environment-strategy"/>
    <w:p>
      <w:pPr>
        <w:pStyle w:val="Heading3"/>
      </w:pPr>
      <w:r>
        <w:t xml:space="preserve">UK MSVX CPS Environment Strategy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Production Environment</w:t>
      </w:r>
      <w:r>
        <w:t xml:space="preserve">: Live CSO portal with Multi-AZ deployment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Staging Environment</w:t>
      </w:r>
      <w:r>
        <w:t xml:space="preserve">: Pre-production testing with HA configuration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Development Environment</w:t>
      </w:r>
      <w:r>
        <w:t xml:space="preserve">: Single-node development and testing</w:t>
      </w:r>
    </w:p>
    <w:bookmarkEnd w:id="21"/>
    <w:bookmarkStart w:id="22" w:name="multi-tier-access-model"/>
    <w:p>
      <w:pPr>
        <w:pStyle w:val="Heading3"/>
      </w:pPr>
      <w:r>
        <w:t xml:space="preserve">Multi-Tier Access Model</w:t>
      </w:r>
    </w:p>
    <w:p>
      <w:pPr>
        <w:pStyle w:val="SourceCode"/>
      </w:pPr>
      <w:r>
        <w:rPr>
          <w:rStyle w:val="VerbatimChar"/>
        </w:rPr>
        <w:t xml:space="preserve">AWS Cognito (HA) → Application Load Balancer → CSO Services → Keystone Authentication → Backend Resources</w:t>
      </w:r>
    </w:p>
    <w:bookmarkEnd w:id="22"/>
    <w:bookmarkStart w:id="23" w:name="service-architecture"/>
    <w:p>
      <w:pPr>
        <w:pStyle w:val="Heading3"/>
      </w:pPr>
      <w:r>
        <w:t xml:space="preserve">Service Architecture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Frontend Tier</w:t>
      </w:r>
      <w:r>
        <w:t xml:space="preserve">: Management UI and Portal UI (port 8102)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Application Tier</w:t>
      </w:r>
      <w:r>
        <w:t xml:space="preserve">: Backend services and API endpoints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Identity Tier</w:t>
      </w:r>
      <w:r>
        <w:t xml:space="preserve">: OpenStack Keystone service (port 5000)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Message Tier</w:t>
      </w:r>
      <w:r>
        <w:t xml:space="preserve">: RabbitMQ cluster with management interface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 Tier</w:t>
      </w:r>
      <w:r>
        <w:t xml:space="preserve">: RDS MySQL Multi-AZ with automated backups</w:t>
      </w:r>
    </w:p>
    <w:bookmarkEnd w:id="23"/>
    <w:bookmarkEnd w:id="24"/>
    <w:bookmarkStart w:id="34" w:name="permission-framework"/>
    <w:p>
      <w:pPr>
        <w:pStyle w:val="Heading2"/>
      </w:pPr>
      <w:r>
        <w:t xml:space="preserve">Permission Framework</w:t>
      </w:r>
    </w:p>
    <w:bookmarkStart w:id="28" w:name="role-based-access-control-rbac"/>
    <w:p>
      <w:pPr>
        <w:pStyle w:val="Heading3"/>
      </w:pPr>
      <w:r>
        <w:t xml:space="preserve">Role-Based Access Control (RBAC)</w:t>
      </w:r>
    </w:p>
    <w:bookmarkStart w:id="25" w:name="administrative-roles"/>
    <w:p>
      <w:pPr>
        <w:pStyle w:val="Heading4"/>
      </w:pPr>
      <w:r>
        <w:t xml:space="preserve">Administrative Roles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CSO Infrastructure Administrator</w:t>
      </w:r>
      <w:r>
        <w:t xml:space="preserve">: Full Terraform and AWS access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CSO Application Administrator</w:t>
      </w:r>
      <w:r>
        <w:t xml:space="preserve">: CSO portal and Keystone management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Database Administrator</w:t>
      </w:r>
      <w:r>
        <w:t xml:space="preserve">: RDS MySQL and backup management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Security Administrator</w:t>
      </w:r>
      <w:r>
        <w:t xml:space="preserve">: IAM, Cognito, and security services</w:t>
      </w:r>
    </w:p>
    <w:bookmarkEnd w:id="25"/>
    <w:bookmarkStart w:id="26" w:name="developer-roles"/>
    <w:p>
      <w:pPr>
        <w:pStyle w:val="Heading4"/>
      </w:pPr>
      <w:r>
        <w:t xml:space="preserve">Developer Roles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Senior CSO Developer</w:t>
      </w:r>
      <w:r>
        <w:t xml:space="preserve">: Full development environment access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CSO Developer</w:t>
      </w:r>
      <w:r>
        <w:t xml:space="preserve">: Standard development and staging access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Frontend Developer</w:t>
      </w:r>
      <w:r>
        <w:t xml:space="preserve">: UI development and testing access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Backend Developer</w:t>
      </w:r>
      <w:r>
        <w:t xml:space="preserve">: API and service development access</w:t>
      </w:r>
    </w:p>
    <w:bookmarkEnd w:id="26"/>
    <w:bookmarkStart w:id="27" w:name="operations-roles"/>
    <w:p>
      <w:pPr>
        <w:pStyle w:val="Heading4"/>
      </w:pPr>
      <w:r>
        <w:t xml:space="preserve">Operations Roles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CSO DevOps Engineer</w:t>
      </w:r>
      <w:r>
        <w:t xml:space="preserve">: Terraform deployment and automation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CSO Site Reliability Engineer</w:t>
      </w:r>
      <w:r>
        <w:t xml:space="preserve">: Monitoring and incident response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CSO Support Engineer</w:t>
      </w:r>
      <w:r>
        <w:t xml:space="preserve">: Read-only troubleshooting access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Identity Administrator</w:t>
      </w:r>
      <w:r>
        <w:t xml:space="preserve">: Keystone user and project management</w:t>
      </w:r>
    </w:p>
    <w:bookmarkEnd w:id="27"/>
    <w:bookmarkEnd w:id="28"/>
    <w:bookmarkStart w:id="33" w:name="service-specific-access"/>
    <w:p>
      <w:pPr>
        <w:pStyle w:val="Heading3"/>
      </w:pPr>
      <w:r>
        <w:t xml:space="preserve">Service-Specific Access</w:t>
      </w:r>
    </w:p>
    <w:bookmarkStart w:id="29" w:name="uk-msvx-cps-compute-services"/>
    <w:p>
      <w:pPr>
        <w:pStyle w:val="Heading4"/>
      </w:pPr>
      <w:r>
        <w:t xml:space="preserve">UK MSVX CPS Compute Services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EC2 Instances</w:t>
      </w:r>
      <w:r>
        <w:t xml:space="preserve">: Frontend, Backend, Keystone, RabbitMQ, Jump servers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Application Load Balancer</w:t>
      </w:r>
      <w:r>
        <w:t xml:space="preserve">: SSL termination and path-based routing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 Scaling</w:t>
      </w:r>
      <w:r>
        <w:t xml:space="preserve">: Future enhancement for dynamic scaling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ECS/EKS</w:t>
      </w:r>
      <w:r>
        <w:t xml:space="preserve">: Future containerization migration</w:t>
      </w:r>
    </w:p>
    <w:bookmarkEnd w:id="29"/>
    <w:bookmarkStart w:id="30" w:name="uk-msvx-cps-storage-services"/>
    <w:p>
      <w:pPr>
        <w:pStyle w:val="Heading4"/>
      </w:pPr>
      <w:r>
        <w:t xml:space="preserve">UK MSVX CPS Storage Services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S3</w:t>
      </w:r>
      <w:r>
        <w:t xml:space="preserve">: Installation packages, configuration files, backups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EFS</w:t>
      </w:r>
      <w:r>
        <w:t xml:space="preserve">: Shared file system for SSL certificates and scripts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EBS</w:t>
      </w:r>
      <w:r>
        <w:t xml:space="preserve">: Encrypted volumes for all EC2 instances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RDS Storage</w:t>
      </w:r>
      <w:r>
        <w:t xml:space="preserve">: Auto-scaling MySQL storage (50GB-1TB)</w:t>
      </w:r>
    </w:p>
    <w:bookmarkEnd w:id="30"/>
    <w:bookmarkStart w:id="31" w:name="uk-msvx-cps-database-services"/>
    <w:p>
      <w:pPr>
        <w:pStyle w:val="Heading4"/>
      </w:pPr>
      <w:r>
        <w:t xml:space="preserve">UK MSVX CPS Database Services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RDS MySQL</w:t>
      </w:r>
      <w:r>
        <w:t xml:space="preserve">: Multi-AZ deployment with automated backups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Secrets Manager</w:t>
      </w:r>
      <w:r>
        <w:t xml:space="preserve">: Database and service password management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Performance Insights</w:t>
      </w:r>
      <w:r>
        <w:t xml:space="preserve">: Database performance monitoring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Backup Management</w:t>
      </w:r>
      <w:r>
        <w:t xml:space="preserve">: 30-day retention for production</w:t>
      </w:r>
    </w:p>
    <w:bookmarkEnd w:id="31"/>
    <w:bookmarkStart w:id="32" w:name="security-services"/>
    <w:p>
      <w:pPr>
        <w:pStyle w:val="Heading4"/>
      </w:pPr>
      <w:r>
        <w:t xml:space="preserve">Security Services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IAM</w:t>
      </w:r>
      <w:r>
        <w:t xml:space="preserve">: User and role management (restricted)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KMS</w:t>
      </w:r>
      <w:r>
        <w:t xml:space="preserve">: Key management and encryption operations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Secrets Manager</w:t>
      </w:r>
      <w:r>
        <w:t xml:space="preserve">: Secret storage and rotation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Certificate Manager</w:t>
      </w:r>
      <w:r>
        <w:t xml:space="preserve">: SSL/TLS certificate management</w:t>
      </w:r>
    </w:p>
    <w:bookmarkEnd w:id="32"/>
    <w:bookmarkEnd w:id="33"/>
    <w:bookmarkEnd w:id="34"/>
    <w:bookmarkStart w:id="38" w:name="environment-specific-access"/>
    <w:p>
      <w:pPr>
        <w:pStyle w:val="Heading2"/>
      </w:pPr>
      <w:r>
        <w:t xml:space="preserve">Environment-Specific Access</w:t>
      </w:r>
    </w:p>
    <w:bookmarkStart w:id="35" w:name="production-environment-prod-ha"/>
    <w:p>
      <w:pPr>
        <w:pStyle w:val="Heading3"/>
      </w:pPr>
      <w:r>
        <w:t xml:space="preserve">Production Environment (prod-ha)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Access Requirements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Manager approval required</w:t>
      </w:r>
    </w:p>
    <w:p>
      <w:pPr>
        <w:numPr>
          <w:ilvl w:val="1"/>
          <w:numId w:val="1011"/>
        </w:numPr>
        <w:pStyle w:val="Compact"/>
      </w:pPr>
      <w:r>
        <w:t xml:space="preserve">AWS Cognito MFA mandatory</w:t>
      </w:r>
    </w:p>
    <w:p>
      <w:pPr>
        <w:numPr>
          <w:ilvl w:val="1"/>
          <w:numId w:val="1011"/>
        </w:numPr>
        <w:pStyle w:val="Compact"/>
      </w:pPr>
      <w:r>
        <w:t xml:space="preserve">Time-limited access (4-hour sessions)</w:t>
      </w:r>
    </w:p>
    <w:p>
      <w:pPr>
        <w:numPr>
          <w:ilvl w:val="1"/>
          <w:numId w:val="1011"/>
        </w:numPr>
        <w:pStyle w:val="Compact"/>
      </w:pPr>
      <w:r>
        <w:t xml:space="preserve">Change management process</w:t>
      </w:r>
    </w:p>
    <w:p>
      <w:pPr>
        <w:numPr>
          <w:ilvl w:val="1"/>
          <w:numId w:val="1011"/>
        </w:numPr>
        <w:pStyle w:val="Compact"/>
      </w:pPr>
      <w:r>
        <w:t xml:space="preserve">Comprehensive audit logging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Infrastructure Configuration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Multi-AZ deployment across eu-west-2a and eu-west-2c</w:t>
      </w:r>
    </w:p>
    <w:p>
      <w:pPr>
        <w:numPr>
          <w:ilvl w:val="1"/>
          <w:numId w:val="1012"/>
        </w:numPr>
        <w:pStyle w:val="Compact"/>
      </w:pPr>
      <w:r>
        <w:t xml:space="preserve">Application Load Balancer with SSL termination</w:t>
      </w:r>
    </w:p>
    <w:p>
      <w:pPr>
        <w:numPr>
          <w:ilvl w:val="1"/>
          <w:numId w:val="1012"/>
        </w:numPr>
        <w:pStyle w:val="Compact"/>
      </w:pPr>
      <w:r>
        <w:t xml:space="preserve">RDS Multi-AZ with 30-day backup retention</w:t>
      </w:r>
    </w:p>
    <w:p>
      <w:pPr>
        <w:numPr>
          <w:ilvl w:val="1"/>
          <w:numId w:val="1012"/>
        </w:numPr>
        <w:pStyle w:val="Compact"/>
      </w:pPr>
      <w:r>
        <w:t xml:space="preserve">Production instance sizing (c5.4xlarge backend, c5.2xlarge frontend)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Permitted Actions</w:t>
      </w:r>
      <w:r>
        <w:t xml:space="preserve">:</w:t>
      </w:r>
    </w:p>
    <w:p>
      <w:pPr>
        <w:numPr>
          <w:ilvl w:val="1"/>
          <w:numId w:val="1013"/>
        </w:numPr>
        <w:pStyle w:val="Compact"/>
      </w:pPr>
      <w:r>
        <w:t xml:space="preserve">Read-only access via SSM Session Manager</w:t>
      </w:r>
    </w:p>
    <w:p>
      <w:pPr>
        <w:numPr>
          <w:ilvl w:val="1"/>
          <w:numId w:val="1013"/>
        </w:numPr>
        <w:pStyle w:val="Compact"/>
      </w:pPr>
      <w:r>
        <w:t xml:space="preserve">Emergency break-glass procedures</w:t>
      </w:r>
    </w:p>
    <w:p>
      <w:pPr>
        <w:numPr>
          <w:ilvl w:val="1"/>
          <w:numId w:val="1013"/>
        </w:numPr>
        <w:pStyle w:val="Compact"/>
      </w:pPr>
      <w:r>
        <w:t xml:space="preserve">Approved maintenance windows</w:t>
      </w:r>
    </w:p>
    <w:p>
      <w:pPr>
        <w:numPr>
          <w:ilvl w:val="1"/>
          <w:numId w:val="1013"/>
        </w:numPr>
        <w:pStyle w:val="Compact"/>
      </w:pPr>
      <w:r>
        <w:t xml:space="preserve">Incident response activities</w:t>
      </w:r>
    </w:p>
    <w:bookmarkEnd w:id="35"/>
    <w:bookmarkStart w:id="36" w:name="staging-environment-staging"/>
    <w:p>
      <w:pPr>
        <w:pStyle w:val="Heading3"/>
      </w:pPr>
      <w:r>
        <w:t xml:space="preserve">Staging Environment (staging)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Access Requirements</w:t>
      </w:r>
      <w:r>
        <w:t xml:space="preserve">:</w:t>
      </w:r>
    </w:p>
    <w:p>
      <w:pPr>
        <w:numPr>
          <w:ilvl w:val="1"/>
          <w:numId w:val="1015"/>
        </w:numPr>
        <w:pStyle w:val="Compact"/>
      </w:pPr>
      <w:r>
        <w:t xml:space="preserve">Team lead approval</w:t>
      </w:r>
    </w:p>
    <w:p>
      <w:pPr>
        <w:numPr>
          <w:ilvl w:val="1"/>
          <w:numId w:val="1015"/>
        </w:numPr>
        <w:pStyle w:val="Compact"/>
      </w:pPr>
      <w:r>
        <w:t xml:space="preserve">AWS Cognito authentication</w:t>
      </w:r>
    </w:p>
    <w:p>
      <w:pPr>
        <w:numPr>
          <w:ilvl w:val="1"/>
          <w:numId w:val="1015"/>
        </w:numPr>
        <w:pStyle w:val="Compact"/>
      </w:pPr>
      <w:r>
        <w:t xml:space="preserve">Standard session duration</w:t>
      </w:r>
    </w:p>
    <w:p>
      <w:pPr>
        <w:numPr>
          <w:ilvl w:val="1"/>
          <w:numId w:val="1015"/>
        </w:numPr>
        <w:pStyle w:val="Compact"/>
      </w:pPr>
      <w:r>
        <w:t xml:space="preserve">Change notification process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Infrastructure Configuration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t xml:space="preserve">HA deployment with development instance sizing</w:t>
      </w:r>
    </w:p>
    <w:p>
      <w:pPr>
        <w:numPr>
          <w:ilvl w:val="1"/>
          <w:numId w:val="1016"/>
        </w:numPr>
        <w:pStyle w:val="Compact"/>
      </w:pPr>
      <w:r>
        <w:t xml:space="preserve">Full Cognito authentication flow</w:t>
      </w:r>
    </w:p>
    <w:p>
      <w:pPr>
        <w:numPr>
          <w:ilvl w:val="1"/>
          <w:numId w:val="1016"/>
        </w:numPr>
        <w:pStyle w:val="Compact"/>
      </w:pPr>
      <w:r>
        <w:t xml:space="preserve">7-day backup retention</w:t>
      </w:r>
    </w:p>
    <w:p>
      <w:pPr>
        <w:numPr>
          <w:ilvl w:val="1"/>
          <w:numId w:val="1016"/>
        </w:numPr>
        <w:pStyle w:val="Compact"/>
      </w:pPr>
      <w:r>
        <w:t xml:space="preserve">Complete service integration testing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Permitted Actions</w:t>
      </w:r>
      <w:r>
        <w:t xml:space="preserve">:</w:t>
      </w:r>
    </w:p>
    <w:p>
      <w:pPr>
        <w:numPr>
          <w:ilvl w:val="1"/>
          <w:numId w:val="1017"/>
        </w:numPr>
        <w:pStyle w:val="Compact"/>
      </w:pPr>
      <w:r>
        <w:t xml:space="preserve">Full testing capabilities</w:t>
      </w:r>
    </w:p>
    <w:p>
      <w:pPr>
        <w:numPr>
          <w:ilvl w:val="1"/>
          <w:numId w:val="1017"/>
        </w:numPr>
        <w:pStyle w:val="Compact"/>
      </w:pPr>
      <w:r>
        <w:t xml:space="preserve">Configuration changes</w:t>
      </w:r>
    </w:p>
    <w:p>
      <w:pPr>
        <w:numPr>
          <w:ilvl w:val="1"/>
          <w:numId w:val="1017"/>
        </w:numPr>
        <w:pStyle w:val="Compact"/>
      </w:pPr>
      <w:r>
        <w:t xml:space="preserve">Data refresh operations</w:t>
      </w:r>
    </w:p>
    <w:p>
      <w:pPr>
        <w:numPr>
          <w:ilvl w:val="1"/>
          <w:numId w:val="1017"/>
        </w:numPr>
        <w:pStyle w:val="Compact"/>
      </w:pPr>
      <w:r>
        <w:t xml:space="preserve">Performance testing</w:t>
      </w:r>
    </w:p>
    <w:bookmarkEnd w:id="36"/>
    <w:bookmarkStart w:id="37" w:name="development-environment-dev"/>
    <w:p>
      <w:pPr>
        <w:pStyle w:val="Heading3"/>
      </w:pPr>
      <w:r>
        <w:t xml:space="preserve">Development Environment (dev)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Access Requirements</w:t>
      </w:r>
      <w:r>
        <w:t xml:space="preserve">:</w:t>
      </w:r>
    </w:p>
    <w:p>
      <w:pPr>
        <w:numPr>
          <w:ilvl w:val="1"/>
          <w:numId w:val="1019"/>
        </w:numPr>
        <w:pStyle w:val="Compact"/>
      </w:pPr>
      <w:r>
        <w:t xml:space="preserve">Self-service provisioning via Terraform</w:t>
      </w:r>
    </w:p>
    <w:p>
      <w:pPr>
        <w:numPr>
          <w:ilvl w:val="1"/>
          <w:numId w:val="1019"/>
        </w:numPr>
        <w:pStyle w:val="Compact"/>
      </w:pPr>
      <w:r>
        <w:t xml:space="preserve">MFA recommended</w:t>
      </w:r>
    </w:p>
    <w:p>
      <w:pPr>
        <w:numPr>
          <w:ilvl w:val="1"/>
          <w:numId w:val="1019"/>
        </w:numPr>
        <w:pStyle w:val="Compact"/>
      </w:pPr>
      <w:r>
        <w:t xml:space="preserve">Extended session duration</w:t>
      </w:r>
    </w:p>
    <w:p>
      <w:pPr>
        <w:numPr>
          <w:ilvl w:val="1"/>
          <w:numId w:val="1019"/>
        </w:numPr>
        <w:pStyle w:val="Compact"/>
      </w:pPr>
      <w:r>
        <w:t xml:space="preserve">Minimal approval process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Infrastructure Configuration</w:t>
      </w:r>
      <w:r>
        <w:t xml:space="preserve">:</w:t>
      </w:r>
    </w:p>
    <w:p>
      <w:pPr>
        <w:numPr>
          <w:ilvl w:val="1"/>
          <w:numId w:val="1020"/>
        </w:numPr>
        <w:pStyle w:val="Compact"/>
      </w:pPr>
      <w:r>
        <w:t xml:space="preserve">Single-node deployment in single AZ</w:t>
      </w:r>
    </w:p>
    <w:p>
      <w:pPr>
        <w:numPr>
          <w:ilvl w:val="1"/>
          <w:numId w:val="1020"/>
        </w:numPr>
        <w:pStyle w:val="Compact"/>
      </w:pPr>
      <w:r>
        <w:t xml:space="preserve">Direct EIP access (no load balancer)</w:t>
      </w:r>
    </w:p>
    <w:p>
      <w:pPr>
        <w:numPr>
          <w:ilvl w:val="1"/>
          <w:numId w:val="1020"/>
        </w:numPr>
        <w:pStyle w:val="Compact"/>
      </w:pPr>
      <w:r>
        <w:t xml:space="preserve">Development instance sizing (t2.xlarge)</w:t>
      </w:r>
    </w:p>
    <w:p>
      <w:pPr>
        <w:numPr>
          <w:ilvl w:val="1"/>
          <w:numId w:val="1020"/>
        </w:numPr>
        <w:pStyle w:val="Compact"/>
      </w:pPr>
      <w:r>
        <w:t xml:space="preserve">Basic backup retention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Permitted Actions</w:t>
      </w:r>
      <w:r>
        <w:t xml:space="preserve">:</w:t>
      </w:r>
    </w:p>
    <w:p>
      <w:pPr>
        <w:numPr>
          <w:ilvl w:val="1"/>
          <w:numId w:val="1021"/>
        </w:numPr>
        <w:pStyle w:val="Compact"/>
      </w:pPr>
      <w:r>
        <w:t xml:space="preserve">Full Terraform workspace management</w:t>
      </w:r>
    </w:p>
    <w:p>
      <w:pPr>
        <w:numPr>
          <w:ilvl w:val="1"/>
          <w:numId w:val="1021"/>
        </w:numPr>
        <w:pStyle w:val="Compact"/>
      </w:pPr>
      <w:r>
        <w:t xml:space="preserve">Resource creation/deletion</w:t>
      </w:r>
    </w:p>
    <w:p>
      <w:pPr>
        <w:numPr>
          <w:ilvl w:val="1"/>
          <w:numId w:val="1021"/>
        </w:numPr>
        <w:pStyle w:val="Compact"/>
      </w:pPr>
      <w:r>
        <w:t xml:space="preserve">Service experimentation</w:t>
      </w:r>
    </w:p>
    <w:p>
      <w:pPr>
        <w:numPr>
          <w:ilvl w:val="1"/>
          <w:numId w:val="1021"/>
        </w:numPr>
        <w:pStyle w:val="Compact"/>
      </w:pPr>
      <w:r>
        <w:t xml:space="preserve">Development and testing</w:t>
      </w:r>
    </w:p>
    <w:bookmarkEnd w:id="37"/>
    <w:bookmarkEnd w:id="38"/>
    <w:bookmarkStart w:id="44" w:name="access-control-mechanisms"/>
    <w:p>
      <w:pPr>
        <w:pStyle w:val="Heading2"/>
      </w:pPr>
      <w:r>
        <w:t xml:space="preserve">Access Control Mechanisms</w:t>
      </w:r>
    </w:p>
    <w:bookmarkStart w:id="41" w:name="uk-msvx-cps-iam-policies"/>
    <w:p>
      <w:pPr>
        <w:pStyle w:val="Heading3"/>
      </w:pPr>
      <w:r>
        <w:t xml:space="preserve">UK MSVX CPS IAM Policies</w:t>
      </w:r>
    </w:p>
    <w:bookmarkStart w:id="39" w:name="cso-infrastructure-permission-boundary"/>
    <w:p>
      <w:pPr>
        <w:pStyle w:val="Heading4"/>
      </w:pPr>
      <w:r>
        <w:t xml:space="preserve">CSO Infrastructure Permission Boundary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"2012-10-17"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"ec2:*"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"rds:*"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"efs:*"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"s3:*"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"elbv2:*"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"cognito-idp:*"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"secretsmanager:*"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"ssm:*"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"StringEquals"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"aws:RequestedRegion"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"eu-west-2"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resource-based-policies"/>
    <w:p>
      <w:pPr>
        <w:pStyle w:val="Heading4"/>
      </w:pPr>
      <w:r>
        <w:t xml:space="preserve">Resource-Based Policies</w:t>
      </w:r>
    </w:p>
    <w:p>
      <w:pPr>
        <w:numPr>
          <w:ilvl w:val="0"/>
          <w:numId w:val="1022"/>
        </w:numPr>
        <w:pStyle w:val="Compact"/>
      </w:pPr>
      <w:r>
        <w:t xml:space="preserve">S3 bucket policies</w:t>
      </w:r>
    </w:p>
    <w:p>
      <w:pPr>
        <w:numPr>
          <w:ilvl w:val="0"/>
          <w:numId w:val="1022"/>
        </w:numPr>
        <w:pStyle w:val="Compact"/>
      </w:pPr>
      <w:r>
        <w:t xml:space="preserve">KMS key policies</w:t>
      </w:r>
    </w:p>
    <w:p>
      <w:pPr>
        <w:numPr>
          <w:ilvl w:val="0"/>
          <w:numId w:val="1022"/>
        </w:numPr>
        <w:pStyle w:val="Compact"/>
      </w:pPr>
      <w:r>
        <w:t xml:space="preserve">Lambda resource policies</w:t>
      </w:r>
    </w:p>
    <w:p>
      <w:pPr>
        <w:numPr>
          <w:ilvl w:val="0"/>
          <w:numId w:val="1022"/>
        </w:numPr>
        <w:pStyle w:val="Compact"/>
      </w:pPr>
      <w:r>
        <w:t xml:space="preserve">SNS topic policies</w:t>
      </w:r>
    </w:p>
    <w:bookmarkEnd w:id="40"/>
    <w:bookmarkEnd w:id="41"/>
    <w:bookmarkStart w:id="42" w:name="terraform-workspace-policies"/>
    <w:p>
      <w:pPr>
        <w:pStyle w:val="Heading3"/>
      </w:pPr>
      <w:r>
        <w:t xml:space="preserve">Terraform Workspace Policies</w:t>
      </w:r>
    </w:p>
    <w:p>
      <w:pPr>
        <w:numPr>
          <w:ilvl w:val="0"/>
          <w:numId w:val="1023"/>
        </w:numPr>
        <w:pStyle w:val="Compact"/>
      </w:pPr>
      <w:r>
        <w:t xml:space="preserve">Environment-specific resource isolation</w:t>
      </w:r>
    </w:p>
    <w:p>
      <w:pPr>
        <w:numPr>
          <w:ilvl w:val="0"/>
          <w:numId w:val="1023"/>
        </w:numPr>
        <w:pStyle w:val="Compact"/>
      </w:pPr>
      <w:r>
        <w:t xml:space="preserve">Workspace-based access controls</w:t>
      </w:r>
    </w:p>
    <w:p>
      <w:pPr>
        <w:numPr>
          <w:ilvl w:val="0"/>
          <w:numId w:val="1023"/>
        </w:numPr>
        <w:pStyle w:val="Compact"/>
      </w:pPr>
      <w:r>
        <w:t xml:space="preserve">State file security and versioning</w:t>
      </w:r>
    </w:p>
    <w:p>
      <w:pPr>
        <w:numPr>
          <w:ilvl w:val="0"/>
          <w:numId w:val="1023"/>
        </w:numPr>
        <w:pStyle w:val="Compact"/>
      </w:pPr>
      <w:r>
        <w:t xml:space="preserve">Resource tagging enforcement</w:t>
      </w:r>
    </w:p>
    <w:bookmarkEnd w:id="42"/>
    <w:bookmarkStart w:id="43" w:name="uk-msvx-cps-config-rules"/>
    <w:p>
      <w:pPr>
        <w:pStyle w:val="Heading3"/>
      </w:pPr>
      <w:r>
        <w:t xml:space="preserve">UK MSVX CPS Config Rules</w:t>
      </w:r>
    </w:p>
    <w:p>
      <w:pPr>
        <w:numPr>
          <w:ilvl w:val="0"/>
          <w:numId w:val="1024"/>
        </w:numPr>
        <w:pStyle w:val="Compact"/>
      </w:pPr>
      <w:r>
        <w:t xml:space="preserve">EC2 instance compliance monitoring</w:t>
      </w:r>
    </w:p>
    <w:p>
      <w:pPr>
        <w:numPr>
          <w:ilvl w:val="0"/>
          <w:numId w:val="1024"/>
        </w:numPr>
        <w:pStyle w:val="Compact"/>
      </w:pPr>
      <w:r>
        <w:t xml:space="preserve">RDS encryption and backup validation</w:t>
      </w:r>
    </w:p>
    <w:p>
      <w:pPr>
        <w:numPr>
          <w:ilvl w:val="0"/>
          <w:numId w:val="1024"/>
        </w:numPr>
        <w:pStyle w:val="Compact"/>
      </w:pPr>
      <w:r>
        <w:t xml:space="preserve">EFS encryption verification</w:t>
      </w:r>
    </w:p>
    <w:p>
      <w:pPr>
        <w:numPr>
          <w:ilvl w:val="0"/>
          <w:numId w:val="1024"/>
        </w:numPr>
        <w:pStyle w:val="Compact"/>
      </w:pPr>
      <w:r>
        <w:t xml:space="preserve">Security group compliance checking</w:t>
      </w:r>
    </w:p>
    <w:bookmarkEnd w:id="43"/>
    <w:bookmarkEnd w:id="44"/>
    <w:bookmarkStart w:id="48" w:name="access-provisioning"/>
    <w:p>
      <w:pPr>
        <w:pStyle w:val="Heading2"/>
      </w:pPr>
      <w:r>
        <w:t xml:space="preserve">Access Provisioning</w:t>
      </w:r>
    </w:p>
    <w:bookmarkStart w:id="45" w:name="standard-provisioning-process"/>
    <w:p>
      <w:pPr>
        <w:pStyle w:val="Heading3"/>
      </w:pPr>
      <w:r>
        <w:t xml:space="preserve">Standard Provisioning Process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Access Request</w:t>
      </w:r>
    </w:p>
    <w:p>
      <w:pPr>
        <w:numPr>
          <w:ilvl w:val="1"/>
          <w:numId w:val="1026"/>
        </w:numPr>
        <w:pStyle w:val="Compact"/>
      </w:pPr>
      <w:r>
        <w:t xml:space="preserve">Business justification</w:t>
      </w:r>
    </w:p>
    <w:p>
      <w:pPr>
        <w:numPr>
          <w:ilvl w:val="1"/>
          <w:numId w:val="1026"/>
        </w:numPr>
        <w:pStyle w:val="Compact"/>
      </w:pPr>
      <w:r>
        <w:t xml:space="preserve">Required permissions</w:t>
      </w:r>
    </w:p>
    <w:p>
      <w:pPr>
        <w:numPr>
          <w:ilvl w:val="1"/>
          <w:numId w:val="1026"/>
        </w:numPr>
        <w:pStyle w:val="Compact"/>
      </w:pPr>
      <w:r>
        <w:t xml:space="preserve">Duration of access</w:t>
      </w:r>
    </w:p>
    <w:p>
      <w:pPr>
        <w:numPr>
          <w:ilvl w:val="1"/>
          <w:numId w:val="1026"/>
        </w:numPr>
        <w:pStyle w:val="Compact"/>
      </w:pPr>
      <w:r>
        <w:t xml:space="preserve">Approval workflow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Security Review</w:t>
      </w:r>
    </w:p>
    <w:p>
      <w:pPr>
        <w:numPr>
          <w:ilvl w:val="1"/>
          <w:numId w:val="1027"/>
        </w:numPr>
        <w:pStyle w:val="Compact"/>
      </w:pPr>
      <w:r>
        <w:t xml:space="preserve">Risk assessment</w:t>
      </w:r>
    </w:p>
    <w:p>
      <w:pPr>
        <w:numPr>
          <w:ilvl w:val="1"/>
          <w:numId w:val="1027"/>
        </w:numPr>
        <w:pStyle w:val="Compact"/>
      </w:pPr>
      <w:r>
        <w:t xml:space="preserve">Compliance validation</w:t>
      </w:r>
    </w:p>
    <w:p>
      <w:pPr>
        <w:numPr>
          <w:ilvl w:val="1"/>
          <w:numId w:val="1027"/>
        </w:numPr>
        <w:pStyle w:val="Compact"/>
      </w:pPr>
      <w:r>
        <w:t xml:space="preserve">Alternative solutions</w:t>
      </w:r>
    </w:p>
    <w:p>
      <w:pPr>
        <w:numPr>
          <w:ilvl w:val="1"/>
          <w:numId w:val="1027"/>
        </w:numPr>
        <w:pStyle w:val="Compact"/>
      </w:pPr>
      <w:r>
        <w:t xml:space="preserve">Approval decision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Implementation</w:t>
      </w:r>
    </w:p>
    <w:p>
      <w:pPr>
        <w:numPr>
          <w:ilvl w:val="1"/>
          <w:numId w:val="1028"/>
        </w:numPr>
        <w:pStyle w:val="Compact"/>
      </w:pPr>
      <w:r>
        <w:t xml:space="preserve">Role assignment</w:t>
      </w:r>
    </w:p>
    <w:p>
      <w:pPr>
        <w:numPr>
          <w:ilvl w:val="1"/>
          <w:numId w:val="1028"/>
        </w:numPr>
        <w:pStyle w:val="Compact"/>
      </w:pPr>
      <w:r>
        <w:t xml:space="preserve">Policy attachment</w:t>
      </w:r>
    </w:p>
    <w:p>
      <w:pPr>
        <w:numPr>
          <w:ilvl w:val="1"/>
          <w:numId w:val="1028"/>
        </w:numPr>
        <w:pStyle w:val="Compact"/>
      </w:pPr>
      <w:r>
        <w:t xml:space="preserve">Testing validation</w:t>
      </w:r>
    </w:p>
    <w:p>
      <w:pPr>
        <w:numPr>
          <w:ilvl w:val="1"/>
          <w:numId w:val="1028"/>
        </w:numPr>
        <w:pStyle w:val="Compact"/>
      </w:pPr>
      <w:r>
        <w:t xml:space="preserve">Documentation update</w:t>
      </w:r>
    </w:p>
    <w:bookmarkEnd w:id="45"/>
    <w:bookmarkStart w:id="46" w:name="just-in-time-jit-access"/>
    <w:p>
      <w:pPr>
        <w:pStyle w:val="Heading3"/>
      </w:pPr>
      <w:r>
        <w:t xml:space="preserve">Just-In-Time (JIT) Access</w:t>
      </w:r>
    </w:p>
    <w:p>
      <w:pPr>
        <w:numPr>
          <w:ilvl w:val="0"/>
          <w:numId w:val="1029"/>
        </w:numPr>
        <w:pStyle w:val="Compact"/>
      </w:pPr>
      <w:r>
        <w:t xml:space="preserve">Temporary privilege elevation</w:t>
      </w:r>
    </w:p>
    <w:p>
      <w:pPr>
        <w:numPr>
          <w:ilvl w:val="0"/>
          <w:numId w:val="1029"/>
        </w:numPr>
        <w:pStyle w:val="Compact"/>
      </w:pPr>
      <w:r>
        <w:t xml:space="preserve">Time-bound access grants</w:t>
      </w:r>
    </w:p>
    <w:p>
      <w:pPr>
        <w:numPr>
          <w:ilvl w:val="0"/>
          <w:numId w:val="1029"/>
        </w:numPr>
        <w:pStyle w:val="Compact"/>
      </w:pPr>
      <w:r>
        <w:t xml:space="preserve">Automated expiration</w:t>
      </w:r>
    </w:p>
    <w:p>
      <w:pPr>
        <w:numPr>
          <w:ilvl w:val="0"/>
          <w:numId w:val="1029"/>
        </w:numPr>
        <w:pStyle w:val="Compact"/>
      </w:pPr>
      <w:r>
        <w:t xml:space="preserve">Activity monitoring</w:t>
      </w:r>
    </w:p>
    <w:bookmarkEnd w:id="46"/>
    <w:bookmarkStart w:id="47" w:name="break-glass-access"/>
    <w:p>
      <w:pPr>
        <w:pStyle w:val="Heading3"/>
      </w:pPr>
      <w:r>
        <w:t xml:space="preserve">Break-Glass Access</w:t>
      </w:r>
    </w:p>
    <w:p>
      <w:pPr>
        <w:numPr>
          <w:ilvl w:val="0"/>
          <w:numId w:val="1030"/>
        </w:numPr>
        <w:pStyle w:val="Compact"/>
      </w:pPr>
      <w:r>
        <w:t xml:space="preserve">Emergency access procedures</w:t>
      </w:r>
    </w:p>
    <w:p>
      <w:pPr>
        <w:numPr>
          <w:ilvl w:val="0"/>
          <w:numId w:val="1030"/>
        </w:numPr>
        <w:pStyle w:val="Compact"/>
      </w:pPr>
      <w:r>
        <w:t xml:space="preserve">Immediate privilege escalation</w:t>
      </w:r>
    </w:p>
    <w:p>
      <w:pPr>
        <w:numPr>
          <w:ilvl w:val="0"/>
          <w:numId w:val="1030"/>
        </w:numPr>
        <w:pStyle w:val="Compact"/>
      </w:pPr>
      <w:r>
        <w:t xml:space="preserve">Enhanced monitoring</w:t>
      </w:r>
    </w:p>
    <w:p>
      <w:pPr>
        <w:numPr>
          <w:ilvl w:val="0"/>
          <w:numId w:val="1030"/>
        </w:numPr>
        <w:pStyle w:val="Compact"/>
      </w:pPr>
      <w:r>
        <w:t xml:space="preserve">Post-incident review</w:t>
      </w:r>
    </w:p>
    <w:bookmarkEnd w:id="47"/>
    <w:bookmarkEnd w:id="48"/>
    <w:bookmarkStart w:id="52" w:name="monitoring-and-compliance"/>
    <w:p>
      <w:pPr>
        <w:pStyle w:val="Heading2"/>
      </w:pPr>
      <w:r>
        <w:t xml:space="preserve">Monitoring and Compliance</w:t>
      </w:r>
    </w:p>
    <w:bookmarkStart w:id="49" w:name="uk-msvx-cps-access-monitoring"/>
    <w:p>
      <w:pPr>
        <w:pStyle w:val="Heading3"/>
      </w:pPr>
      <w:r>
        <w:t xml:space="preserve">UK MSVX CPS Access Monitoring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AWS CloudTrail</w:t>
      </w:r>
      <w:r>
        <w:t xml:space="preserve">: API call logging and audit trails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AWS SSM Session Manager</w:t>
      </w:r>
      <w:r>
        <w:t xml:space="preserve">: Administrative access logging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Application Load Balancer</w:t>
      </w:r>
      <w:r>
        <w:t xml:space="preserve">: Access logs and metrics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Keystone Audit Logs</w:t>
      </w:r>
      <w:r>
        <w:t xml:space="preserve">: Identity service access tracking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RabbitMQ Management Logs</w:t>
      </w:r>
      <w:r>
        <w:t xml:space="preserve">: Message broker access monitoring</w:t>
      </w:r>
    </w:p>
    <w:bookmarkEnd w:id="49"/>
    <w:bookmarkStart w:id="50" w:name="key-metrics"/>
    <w:p>
      <w:pPr>
        <w:pStyle w:val="Heading3"/>
      </w:pPr>
      <w:r>
        <w:t xml:space="preserve">Key Metrics</w:t>
      </w:r>
    </w:p>
    <w:p>
      <w:pPr>
        <w:numPr>
          <w:ilvl w:val="0"/>
          <w:numId w:val="1032"/>
        </w:numPr>
        <w:pStyle w:val="Compact"/>
      </w:pPr>
      <w:r>
        <w:t xml:space="preserve">SSM session usage and duration</w:t>
      </w:r>
    </w:p>
    <w:p>
      <w:pPr>
        <w:numPr>
          <w:ilvl w:val="0"/>
          <w:numId w:val="1032"/>
        </w:numPr>
        <w:pStyle w:val="Compact"/>
      </w:pPr>
      <w:r>
        <w:t xml:space="preserve">Cognito authentication success/failure rates</w:t>
      </w:r>
    </w:p>
    <w:p>
      <w:pPr>
        <w:numPr>
          <w:ilvl w:val="0"/>
          <w:numId w:val="1032"/>
        </w:numPr>
        <w:pStyle w:val="Compact"/>
      </w:pPr>
      <w:r>
        <w:t xml:space="preserve">Keystone token issuance and validation</w:t>
      </w:r>
    </w:p>
    <w:p>
      <w:pPr>
        <w:numPr>
          <w:ilvl w:val="0"/>
          <w:numId w:val="1032"/>
        </w:numPr>
        <w:pStyle w:val="Compact"/>
      </w:pPr>
      <w:r>
        <w:t xml:space="preserve">Application Load Balancer health check status</w:t>
      </w:r>
    </w:p>
    <w:p>
      <w:pPr>
        <w:numPr>
          <w:ilvl w:val="0"/>
          <w:numId w:val="1032"/>
        </w:numPr>
        <w:pStyle w:val="Compact"/>
      </w:pPr>
      <w:r>
        <w:t xml:space="preserve">RDS connection and query performance</w:t>
      </w:r>
    </w:p>
    <w:bookmarkEnd w:id="50"/>
    <w:bookmarkStart w:id="51" w:name="compliance-reporting"/>
    <w:p>
      <w:pPr>
        <w:pStyle w:val="Heading3"/>
      </w:pPr>
      <w:r>
        <w:t xml:space="preserve">Compliance Reporting</w:t>
      </w:r>
    </w:p>
    <w:p>
      <w:pPr>
        <w:numPr>
          <w:ilvl w:val="0"/>
          <w:numId w:val="1033"/>
        </w:numPr>
        <w:pStyle w:val="Compact"/>
      </w:pPr>
      <w:r>
        <w:t xml:space="preserve">SOX compliance reports</w:t>
      </w:r>
    </w:p>
    <w:p>
      <w:pPr>
        <w:numPr>
          <w:ilvl w:val="0"/>
          <w:numId w:val="1033"/>
        </w:numPr>
        <w:pStyle w:val="Compact"/>
      </w:pPr>
      <w:r>
        <w:t xml:space="preserve">PCI DSS access reviews</w:t>
      </w:r>
    </w:p>
    <w:p>
      <w:pPr>
        <w:numPr>
          <w:ilvl w:val="0"/>
          <w:numId w:val="1033"/>
        </w:numPr>
        <w:pStyle w:val="Compact"/>
      </w:pPr>
      <w:r>
        <w:t xml:space="preserve">GDPR data access logs</w:t>
      </w:r>
    </w:p>
    <w:p>
      <w:pPr>
        <w:numPr>
          <w:ilvl w:val="0"/>
          <w:numId w:val="1033"/>
        </w:numPr>
        <w:pStyle w:val="Compact"/>
      </w:pPr>
      <w:r>
        <w:t xml:space="preserve">Industry-specific requirements</w:t>
      </w:r>
    </w:p>
    <w:bookmarkEnd w:id="51"/>
    <w:bookmarkEnd w:id="52"/>
    <w:bookmarkStart w:id="56" w:name="security-best-practices"/>
    <w:p>
      <w:pPr>
        <w:pStyle w:val="Heading2"/>
      </w:pPr>
      <w:r>
        <w:t xml:space="preserve">Security Best Practices</w:t>
      </w:r>
    </w:p>
    <w:bookmarkStart w:id="53" w:name="principle-of-least-privilege"/>
    <w:p>
      <w:pPr>
        <w:pStyle w:val="Heading3"/>
      </w:pPr>
      <w:r>
        <w:t xml:space="preserve">Principle of Least Privilege</w:t>
      </w:r>
    </w:p>
    <w:p>
      <w:pPr>
        <w:numPr>
          <w:ilvl w:val="0"/>
          <w:numId w:val="1034"/>
        </w:numPr>
        <w:pStyle w:val="Compact"/>
      </w:pPr>
      <w:r>
        <w:t xml:space="preserve">Minimal necessary permissions</w:t>
      </w:r>
    </w:p>
    <w:p>
      <w:pPr>
        <w:numPr>
          <w:ilvl w:val="0"/>
          <w:numId w:val="1034"/>
        </w:numPr>
        <w:pStyle w:val="Compact"/>
      </w:pPr>
      <w:r>
        <w:t xml:space="preserve">Regular access reviews</w:t>
      </w:r>
    </w:p>
    <w:p>
      <w:pPr>
        <w:numPr>
          <w:ilvl w:val="0"/>
          <w:numId w:val="1034"/>
        </w:numPr>
        <w:pStyle w:val="Compact"/>
      </w:pPr>
      <w:r>
        <w:t xml:space="preserve">Automated access removal</w:t>
      </w:r>
    </w:p>
    <w:p>
      <w:pPr>
        <w:numPr>
          <w:ilvl w:val="0"/>
          <w:numId w:val="1034"/>
        </w:numPr>
        <w:pStyle w:val="Compact"/>
      </w:pPr>
      <w:r>
        <w:t xml:space="preserve">Permission right-sizing</w:t>
      </w:r>
    </w:p>
    <w:bookmarkEnd w:id="53"/>
    <w:bookmarkStart w:id="54" w:name="defense-in-depth"/>
    <w:p>
      <w:pPr>
        <w:pStyle w:val="Heading3"/>
      </w:pPr>
      <w:r>
        <w:t xml:space="preserve">Defense in Depth</w:t>
      </w:r>
    </w:p>
    <w:p>
      <w:pPr>
        <w:numPr>
          <w:ilvl w:val="0"/>
          <w:numId w:val="1035"/>
        </w:numPr>
        <w:pStyle w:val="Compact"/>
      </w:pPr>
      <w:r>
        <w:t xml:space="preserve">Multiple security layers</w:t>
      </w:r>
    </w:p>
    <w:p>
      <w:pPr>
        <w:numPr>
          <w:ilvl w:val="0"/>
          <w:numId w:val="1035"/>
        </w:numPr>
        <w:pStyle w:val="Compact"/>
      </w:pPr>
      <w:r>
        <w:t xml:space="preserve">Network segmentation</w:t>
      </w:r>
    </w:p>
    <w:p>
      <w:pPr>
        <w:numPr>
          <w:ilvl w:val="0"/>
          <w:numId w:val="1035"/>
        </w:numPr>
        <w:pStyle w:val="Compact"/>
      </w:pPr>
      <w:r>
        <w:t xml:space="preserve">Encryption at rest and in transit</w:t>
      </w:r>
    </w:p>
    <w:p>
      <w:pPr>
        <w:numPr>
          <w:ilvl w:val="0"/>
          <w:numId w:val="1035"/>
        </w:numPr>
        <w:pStyle w:val="Compact"/>
      </w:pPr>
      <w:r>
        <w:t xml:space="preserve">Comprehensive monitoring</w:t>
      </w:r>
    </w:p>
    <w:bookmarkEnd w:id="54"/>
    <w:bookmarkStart w:id="55" w:name="zero-trust-architecture"/>
    <w:p>
      <w:pPr>
        <w:pStyle w:val="Heading3"/>
      </w:pPr>
      <w:r>
        <w:t xml:space="preserve">Zero Trust Architecture</w:t>
      </w:r>
    </w:p>
    <w:p>
      <w:pPr>
        <w:numPr>
          <w:ilvl w:val="0"/>
          <w:numId w:val="1036"/>
        </w:numPr>
        <w:pStyle w:val="Compact"/>
      </w:pPr>
      <w:r>
        <w:t xml:space="preserve">Verify every access request</w:t>
      </w:r>
    </w:p>
    <w:p>
      <w:pPr>
        <w:numPr>
          <w:ilvl w:val="0"/>
          <w:numId w:val="1036"/>
        </w:numPr>
        <w:pStyle w:val="Compact"/>
      </w:pPr>
      <w:r>
        <w:t xml:space="preserve">Continuous authentication</w:t>
      </w:r>
    </w:p>
    <w:p>
      <w:pPr>
        <w:numPr>
          <w:ilvl w:val="0"/>
          <w:numId w:val="1036"/>
        </w:numPr>
        <w:pStyle w:val="Compact"/>
      </w:pPr>
      <w:r>
        <w:t xml:space="preserve">Micro-segmentation</w:t>
      </w:r>
    </w:p>
    <w:p>
      <w:pPr>
        <w:numPr>
          <w:ilvl w:val="0"/>
          <w:numId w:val="1036"/>
        </w:numPr>
        <w:pStyle w:val="Compact"/>
      </w:pPr>
      <w:r>
        <w:t xml:space="preserve">Behavioral analytics</w:t>
      </w:r>
    </w:p>
    <w:bookmarkEnd w:id="55"/>
    <w:bookmarkEnd w:id="56"/>
    <w:bookmarkStart w:id="60" w:name="automation-and-tools"/>
    <w:p>
      <w:pPr>
        <w:pStyle w:val="Heading2"/>
      </w:pPr>
      <w:r>
        <w:t xml:space="preserve">Automation and Tools</w:t>
      </w:r>
    </w:p>
    <w:bookmarkStart w:id="57" w:name="uk-msvx-cps-infrastructure-as-code"/>
    <w:p>
      <w:pPr>
        <w:pStyle w:val="Heading3"/>
      </w:pPr>
      <w:r>
        <w:t xml:space="preserve">UK MSVX CPS Infrastructure as Code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Terraform Modular Architecture</w:t>
      </w:r>
      <w:r>
        <w:t xml:space="preserve">: Networking, Security, Compute, Storage, Database, DNS modules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Environment Configuration</w:t>
      </w:r>
      <w:r>
        <w:t xml:space="preserve">: YAML-based environment definitions (dev, staging, prod-ha)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Automated Deployment</w:t>
      </w:r>
      <w:r>
        <w:t xml:space="preserve">: PowerShell and Bash deployment scripts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State Management</w:t>
      </w:r>
      <w:r>
        <w:t xml:space="preserve">: S3 backend with state locking</w:t>
      </w:r>
    </w:p>
    <w:bookmarkEnd w:id="57"/>
    <w:bookmarkStart w:id="58" w:name="uk-msvx-cps-access-management-tools"/>
    <w:p>
      <w:pPr>
        <w:pStyle w:val="Heading3"/>
      </w:pPr>
      <w:r>
        <w:t xml:space="preserve">UK MSVX CPS Access Management Tools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AWS SSM Session Manager</w:t>
      </w:r>
      <w:r>
        <w:t xml:space="preserve">: Secure administrative access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AWS Cognito</w:t>
      </w:r>
      <w:r>
        <w:t xml:space="preserve">: Load balancer authentication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OpenStack Keystone</w:t>
      </w:r>
      <w:r>
        <w:t xml:space="preserve">: Service authentication and authorization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AWS Secrets Manager</w:t>
      </w:r>
      <w:r>
        <w:t xml:space="preserve">: Centralized password management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Terraform Workspaces</w:t>
      </w:r>
      <w:r>
        <w:t xml:space="preserve">: Environment isolation</w:t>
      </w:r>
    </w:p>
    <w:bookmarkEnd w:id="58"/>
    <w:bookmarkStart w:id="59" w:name="uk-msvx-cps-monitoring-and-alerting"/>
    <w:p>
      <w:pPr>
        <w:pStyle w:val="Heading3"/>
      </w:pPr>
      <w:r>
        <w:t xml:space="preserve">UK MSVX CPS Monitoring and Alerting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CloudWatch</w:t>
      </w:r>
      <w:r>
        <w:t xml:space="preserve">: Infrastructure metrics and application logs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RDS Performance Insights</w:t>
      </w:r>
      <w:r>
        <w:t xml:space="preserve">: Database performance monitoring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Application Load Balancer Metrics</w:t>
      </w:r>
      <w:r>
        <w:t xml:space="preserve">: Request and response monitoring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Keystone Service Monitoring</w:t>
      </w:r>
      <w:r>
        <w:t xml:space="preserve">: Identity service health checks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RabbitMQ Management Interface</w:t>
      </w:r>
      <w:r>
        <w:t xml:space="preserve">: Message broker monitoring</w:t>
      </w:r>
    </w:p>
    <w:bookmarkEnd w:id="59"/>
    <w:bookmarkEnd w:id="60"/>
    <w:bookmarkStart w:id="63" w:name="incident-response"/>
    <w:p>
      <w:pPr>
        <w:pStyle w:val="Heading2"/>
      </w:pPr>
      <w:r>
        <w:t xml:space="preserve">Incident Response</w:t>
      </w:r>
    </w:p>
    <w:bookmarkStart w:id="61" w:name="access-related-incidents"/>
    <w:p>
      <w:pPr>
        <w:pStyle w:val="Heading3"/>
      </w:pPr>
      <w:r>
        <w:t xml:space="preserve">Access-Related Incidents</w:t>
      </w:r>
    </w:p>
    <w:p>
      <w:pPr>
        <w:numPr>
          <w:ilvl w:val="0"/>
          <w:numId w:val="1040"/>
        </w:numPr>
        <w:pStyle w:val="Compact"/>
      </w:pPr>
      <w:r>
        <w:t xml:space="preserve">Unauthorized access attempts</w:t>
      </w:r>
    </w:p>
    <w:p>
      <w:pPr>
        <w:numPr>
          <w:ilvl w:val="0"/>
          <w:numId w:val="1040"/>
        </w:numPr>
        <w:pStyle w:val="Compact"/>
      </w:pPr>
      <w:r>
        <w:t xml:space="preserve">Privilege escalation events</w:t>
      </w:r>
    </w:p>
    <w:p>
      <w:pPr>
        <w:numPr>
          <w:ilvl w:val="0"/>
          <w:numId w:val="1040"/>
        </w:numPr>
        <w:pStyle w:val="Compact"/>
      </w:pPr>
      <w:r>
        <w:t xml:space="preserve">Compromised credentials</w:t>
      </w:r>
    </w:p>
    <w:p>
      <w:pPr>
        <w:numPr>
          <w:ilvl w:val="0"/>
          <w:numId w:val="1040"/>
        </w:numPr>
        <w:pStyle w:val="Compact"/>
      </w:pPr>
      <w:r>
        <w:t xml:space="preserve">Policy violations</w:t>
      </w:r>
    </w:p>
    <w:bookmarkEnd w:id="61"/>
    <w:bookmarkStart w:id="62" w:name="response-procedures"/>
    <w:p>
      <w:pPr>
        <w:pStyle w:val="Heading3"/>
      </w:pPr>
      <w:r>
        <w:t xml:space="preserve">Response Procedures</w:t>
      </w:r>
    </w:p>
    <w:p>
      <w:pPr>
        <w:numPr>
          <w:ilvl w:val="0"/>
          <w:numId w:val="1041"/>
        </w:numPr>
        <w:pStyle w:val="Compact"/>
      </w:pPr>
      <w:r>
        <w:t xml:space="preserve">Immediate access revocation</w:t>
      </w:r>
    </w:p>
    <w:p>
      <w:pPr>
        <w:numPr>
          <w:ilvl w:val="0"/>
          <w:numId w:val="1041"/>
        </w:numPr>
        <w:pStyle w:val="Compact"/>
      </w:pPr>
      <w:r>
        <w:t xml:space="preserve">Incident containment</w:t>
      </w:r>
    </w:p>
    <w:p>
      <w:pPr>
        <w:numPr>
          <w:ilvl w:val="0"/>
          <w:numId w:val="1041"/>
        </w:numPr>
        <w:pStyle w:val="Compact"/>
      </w:pPr>
      <w:r>
        <w:t xml:space="preserve">Forensic investigation</w:t>
      </w:r>
    </w:p>
    <w:p>
      <w:pPr>
        <w:numPr>
          <w:ilvl w:val="0"/>
          <w:numId w:val="1041"/>
        </w:numPr>
        <w:pStyle w:val="Compact"/>
      </w:pPr>
      <w:r>
        <w:t xml:space="preserve">Remediation actions</w:t>
      </w:r>
    </w:p>
    <w:p>
      <w:pPr>
        <w:numPr>
          <w:ilvl w:val="0"/>
          <w:numId w:val="1041"/>
        </w:numPr>
        <w:pStyle w:val="Compact"/>
      </w:pPr>
      <w:r>
        <w:t xml:space="preserve">Lessons learned</w:t>
      </w:r>
    </w:p>
    <w:bookmarkEnd w:id="62"/>
    <w:bookmarkEnd w:id="63"/>
    <w:bookmarkStart w:id="66" w:name="training-and-awareness"/>
    <w:p>
      <w:pPr>
        <w:pStyle w:val="Heading2"/>
      </w:pPr>
      <w:r>
        <w:t xml:space="preserve">Training and Awareness</w:t>
      </w:r>
    </w:p>
    <w:bookmarkStart w:id="64" w:name="required-training"/>
    <w:p>
      <w:pPr>
        <w:pStyle w:val="Heading3"/>
      </w:pPr>
      <w:r>
        <w:t xml:space="preserve">Required Training</w:t>
      </w:r>
    </w:p>
    <w:p>
      <w:pPr>
        <w:numPr>
          <w:ilvl w:val="0"/>
          <w:numId w:val="1042"/>
        </w:numPr>
        <w:pStyle w:val="Compact"/>
      </w:pPr>
      <w:r>
        <w:t xml:space="preserve">AWS security fundamentals</w:t>
      </w:r>
    </w:p>
    <w:p>
      <w:pPr>
        <w:numPr>
          <w:ilvl w:val="0"/>
          <w:numId w:val="1042"/>
        </w:numPr>
        <w:pStyle w:val="Compact"/>
      </w:pPr>
      <w:r>
        <w:t xml:space="preserve">Company security policies</w:t>
      </w:r>
    </w:p>
    <w:p>
      <w:pPr>
        <w:numPr>
          <w:ilvl w:val="0"/>
          <w:numId w:val="1042"/>
        </w:numPr>
        <w:pStyle w:val="Compact"/>
      </w:pPr>
      <w:r>
        <w:t xml:space="preserve">Incident response procedures</w:t>
      </w:r>
    </w:p>
    <w:p>
      <w:pPr>
        <w:numPr>
          <w:ilvl w:val="0"/>
          <w:numId w:val="1042"/>
        </w:numPr>
        <w:pStyle w:val="Compact"/>
      </w:pPr>
      <w:r>
        <w:t xml:space="preserve">Compliance requirements</w:t>
      </w:r>
    </w:p>
    <w:bookmarkEnd w:id="64"/>
    <w:bookmarkStart w:id="65" w:name="ongoing-education"/>
    <w:p>
      <w:pPr>
        <w:pStyle w:val="Heading3"/>
      </w:pPr>
      <w:r>
        <w:t xml:space="preserve">Ongoing Education</w:t>
      </w:r>
    </w:p>
    <w:p>
      <w:pPr>
        <w:numPr>
          <w:ilvl w:val="0"/>
          <w:numId w:val="1043"/>
        </w:numPr>
        <w:pStyle w:val="Compact"/>
      </w:pPr>
      <w:r>
        <w:t xml:space="preserve">Security awareness campaigns</w:t>
      </w:r>
    </w:p>
    <w:p>
      <w:pPr>
        <w:numPr>
          <w:ilvl w:val="0"/>
          <w:numId w:val="1043"/>
        </w:numPr>
        <w:pStyle w:val="Compact"/>
      </w:pPr>
      <w:r>
        <w:t xml:space="preserve">Technology updates</w:t>
      </w:r>
    </w:p>
    <w:p>
      <w:pPr>
        <w:numPr>
          <w:ilvl w:val="0"/>
          <w:numId w:val="1043"/>
        </w:numPr>
        <w:pStyle w:val="Compact"/>
      </w:pPr>
      <w:r>
        <w:t xml:space="preserve">Best practice sharing</w:t>
      </w:r>
    </w:p>
    <w:p>
      <w:pPr>
        <w:numPr>
          <w:ilvl w:val="0"/>
          <w:numId w:val="1043"/>
        </w:numPr>
        <w:pStyle w:val="Compact"/>
      </w:pPr>
      <w:r>
        <w:t xml:space="preserve">Certification programs</w:t>
      </w:r>
    </w:p>
    <w:bookmarkEnd w:id="65"/>
    <w:bookmarkEnd w:id="66"/>
    <w:bookmarkStart w:id="70" w:name="uk-msvx-cps-specific-access-patterns"/>
    <w:p>
      <w:pPr>
        <w:pStyle w:val="Heading2"/>
      </w:pPr>
      <w:r>
        <w:t xml:space="preserve">UK MSVX CPS Specific Access Patterns</w:t>
      </w:r>
    </w:p>
    <w:bookmarkStart w:id="67" w:name="terraform-workspace-access"/>
    <w:p>
      <w:pPr>
        <w:pStyle w:val="Heading3"/>
      </w:pPr>
      <w:r>
        <w:t xml:space="preserve">Terraform Workspace Access</w:t>
      </w:r>
    </w:p>
    <w:p>
      <w:pPr>
        <w:pStyle w:val="SourceCode"/>
      </w:pPr>
      <w:r>
        <w:rPr>
          <w:rStyle w:val="CommentTok"/>
        </w:rPr>
        <w:t xml:space="preserve"># Switch to production workspace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workspace select prod-ha</w:t>
      </w:r>
      <w:r>
        <w:br/>
      </w:r>
      <w:r>
        <w:br/>
      </w:r>
      <w:r>
        <w:rPr>
          <w:rStyle w:val="CommentTok"/>
        </w:rPr>
        <w:t xml:space="preserve"># Deploy with environment-specific configuration</w:t>
      </w:r>
      <w:r>
        <w:br/>
      </w:r>
      <w:r>
        <w:rPr>
          <w:rStyle w:val="BuiltInTok"/>
        </w:rPr>
        <w:t xml:space="preserve">.</w:t>
      </w:r>
      <w:r>
        <w:rPr>
          <w:rStyle w:val="DataTypeTok"/>
        </w:rPr>
        <w:t xml:space="preserve">\d</w:t>
      </w:r>
      <w:r>
        <w:rPr>
          <w:rStyle w:val="NormalTok"/>
        </w:rPr>
        <w:t xml:space="preserve">eploy.ps1 </w:t>
      </w:r>
      <w:r>
        <w:rPr>
          <w:rStyle w:val="AttributeTok"/>
        </w:rPr>
        <w:t xml:space="preserve">-AutoApprove</w:t>
      </w:r>
      <w:r>
        <w:br/>
      </w:r>
      <w:r>
        <w:br/>
      </w:r>
      <w:r>
        <w:rPr>
          <w:rStyle w:val="CommentTok"/>
        </w:rPr>
        <w:t xml:space="preserve"># Access production resources via SSM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ssm start-session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i-1234567890abcdef0</w:t>
      </w:r>
    </w:p>
    <w:bookmarkEnd w:id="67"/>
    <w:bookmarkStart w:id="68" w:name="keystone-service-access"/>
    <w:p>
      <w:pPr>
        <w:pStyle w:val="Heading3"/>
      </w:pPr>
      <w:r>
        <w:t xml:space="preserve">Keystone Service Access</w:t>
      </w:r>
    </w:p>
    <w:p>
      <w:pPr>
        <w:pStyle w:val="SourceCode"/>
      </w:pPr>
      <w:r>
        <w:rPr>
          <w:rStyle w:val="CommentTok"/>
        </w:rPr>
        <w:t xml:space="preserve"># Authenticate with Keystone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/home/ecs/env.sh</w:t>
      </w:r>
      <w:r>
        <w:br/>
      </w:r>
      <w:r>
        <w:rPr>
          <w:rStyle w:val="ExtensionTok"/>
        </w:rPr>
        <w:t xml:space="preserve">openstack</w:t>
      </w:r>
      <w:r>
        <w:rPr>
          <w:rStyle w:val="NormalTok"/>
        </w:rPr>
        <w:t xml:space="preserve"> token issue</w:t>
      </w:r>
      <w:r>
        <w:br/>
      </w:r>
      <w:r>
        <w:br/>
      </w:r>
      <w:r>
        <w:rPr>
          <w:rStyle w:val="CommentTok"/>
        </w:rPr>
        <w:t xml:space="preserve"># Manage users and projects</w:t>
      </w:r>
      <w:r>
        <w:br/>
      </w:r>
      <w:r>
        <w:rPr>
          <w:rStyle w:val="ExtensionTok"/>
        </w:rPr>
        <w:t xml:space="preserve">openstack</w:t>
      </w:r>
      <w:r>
        <w:rPr>
          <w:rStyle w:val="NormalTok"/>
        </w:rPr>
        <w:t xml:space="preserve"> user list</w:t>
      </w:r>
      <w:r>
        <w:br/>
      </w:r>
      <w:r>
        <w:rPr>
          <w:rStyle w:val="ExtensionTok"/>
        </w:rPr>
        <w:t xml:space="preserve">openstack</w:t>
      </w:r>
      <w:r>
        <w:rPr>
          <w:rStyle w:val="NormalTok"/>
        </w:rPr>
        <w:t xml:space="preserve"> project list</w:t>
      </w:r>
    </w:p>
    <w:bookmarkEnd w:id="68"/>
    <w:bookmarkStart w:id="69" w:name="rabbitmq-management-access"/>
    <w:p>
      <w:pPr>
        <w:pStyle w:val="Heading3"/>
      </w:pPr>
      <w:r>
        <w:t xml:space="preserve">RabbitMQ Management Access</w:t>
      </w:r>
    </w:p>
    <w:p>
      <w:pPr>
        <w:pStyle w:val="SourceCode"/>
      </w:pPr>
      <w:r>
        <w:rPr>
          <w:rStyle w:val="CommentTok"/>
        </w:rPr>
        <w:t xml:space="preserve"># Access RabbitMQ management interface</w:t>
      </w:r>
      <w:r>
        <w:br/>
      </w:r>
      <w:r>
        <w:rPr>
          <w:rStyle w:val="ExtensionTok"/>
        </w:rPr>
        <w:t xml:space="preserve">https://alb-dns-name/admin/</w:t>
      </w:r>
      <w:r>
        <w:br/>
      </w:r>
      <w:r>
        <w:br/>
      </w:r>
      <w:r>
        <w:rPr>
          <w:rStyle w:val="CommentTok"/>
        </w:rPr>
        <w:t xml:space="preserve"># API access for automation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admin:password https://rabbitmq-server:15671/api/overview</w:t>
      </w:r>
    </w:p>
    <w:bookmarkEnd w:id="69"/>
    <w:bookmarkEnd w:id="70"/>
    <w:bookmarkStart w:id="77" w:name="related-documentation"/>
    <w:p>
      <w:pPr>
        <w:pStyle w:val="Heading2"/>
      </w:pPr>
      <w:r>
        <w:t xml:space="preserve">Related Documentation</w:t>
      </w:r>
    </w:p>
    <w:p>
      <w:pPr>
        <w:numPr>
          <w:ilvl w:val="0"/>
          <w:numId w:val="1044"/>
        </w:numPr>
        <w:pStyle w:val="Compact"/>
      </w:pPr>
      <w:hyperlink r:id="rId71">
        <w:r>
          <w:rPr>
            <w:rStyle w:val="Hyperlink"/>
          </w:rPr>
          <w:t xml:space="preserve">JML Processes</w:t>
        </w:r>
      </w:hyperlink>
    </w:p>
    <w:p>
      <w:pPr>
        <w:numPr>
          <w:ilvl w:val="0"/>
          <w:numId w:val="1044"/>
        </w:numPr>
        <w:pStyle w:val="Compact"/>
      </w:pPr>
      <w:hyperlink r:id="rId72">
        <w:r>
          <w:rPr>
            <w:rStyle w:val="Hyperlink"/>
          </w:rPr>
          <w:t xml:space="preserve">User Account Management</w:t>
        </w:r>
      </w:hyperlink>
    </w:p>
    <w:p>
      <w:pPr>
        <w:numPr>
          <w:ilvl w:val="0"/>
          <w:numId w:val="1044"/>
        </w:numPr>
        <w:pStyle w:val="Compact"/>
      </w:pPr>
      <w:hyperlink r:id="rId73">
        <w:r>
          <w:rPr>
            <w:rStyle w:val="Hyperlink"/>
          </w:rPr>
          <w:t xml:space="preserve">Emergency Access Procedures</w:t>
        </w:r>
      </w:hyperlink>
    </w:p>
    <w:p>
      <w:pPr>
        <w:numPr>
          <w:ilvl w:val="0"/>
          <w:numId w:val="1044"/>
        </w:numPr>
        <w:pStyle w:val="Compact"/>
      </w:pPr>
      <w:hyperlink r:id="rId74">
        <w:r>
          <w:rPr>
            <w:rStyle w:val="Hyperlink"/>
          </w:rPr>
          <w:t xml:space="preserve">Compliance and Audit</w:t>
        </w:r>
      </w:hyperlink>
    </w:p>
    <w:p>
      <w:pPr>
        <w:numPr>
          <w:ilvl w:val="0"/>
          <w:numId w:val="1044"/>
        </w:numPr>
        <w:pStyle w:val="Compact"/>
      </w:pPr>
      <w:hyperlink r:id="rId75">
        <w:r>
          <w:rPr>
            <w:rStyle w:val="Hyperlink"/>
          </w:rPr>
          <w:t xml:space="preserve">UK MSVX CPS Architecture</w:t>
        </w:r>
      </w:hyperlink>
    </w:p>
    <w:p>
      <w:pPr>
        <w:numPr>
          <w:ilvl w:val="0"/>
          <w:numId w:val="1044"/>
        </w:numPr>
        <w:pStyle w:val="Compact"/>
      </w:pPr>
      <w:hyperlink r:id="rId76">
        <w:r>
          <w:rPr>
            <w:rStyle w:val="Hyperlink"/>
          </w:rPr>
          <w:t xml:space="preserve">Terraform Deployment Guide</w:t>
        </w:r>
      </w:hyperlink>
    </w:p>
    <w:bookmarkEnd w:id="77"/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5" Target="../../readme/HLD.md" TargetMode="External" /><Relationship Type="http://schemas.openxmlformats.org/officeDocument/2006/relationships/hyperlink" Id="rId76" Target="../../readme/README.md" TargetMode="External" /><Relationship Type="http://schemas.openxmlformats.org/officeDocument/2006/relationships/hyperlink" Id="rId74" Target="./compliance-audit.md" TargetMode="External" /><Relationship Type="http://schemas.openxmlformats.org/officeDocument/2006/relationships/hyperlink" Id="rId73" Target="./emergency-access.md" TargetMode="External" /><Relationship Type="http://schemas.openxmlformats.org/officeDocument/2006/relationships/hyperlink" Id="rId71" Target="./jml-processes/README.md" TargetMode="External" /><Relationship Type="http://schemas.openxmlformats.org/officeDocument/2006/relationships/hyperlink" Id="rId72" Target="./user-account-manageme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../../readme/HLD.md" TargetMode="External" /><Relationship Type="http://schemas.openxmlformats.org/officeDocument/2006/relationships/hyperlink" Id="rId76" Target="../../readme/README.md" TargetMode="External" /><Relationship Type="http://schemas.openxmlformats.org/officeDocument/2006/relationships/hyperlink" Id="rId74" Target="./compliance-audit.md" TargetMode="External" /><Relationship Type="http://schemas.openxmlformats.org/officeDocument/2006/relationships/hyperlink" Id="rId73" Target="./emergency-access.md" TargetMode="External" /><Relationship Type="http://schemas.openxmlformats.org/officeDocument/2006/relationships/hyperlink" Id="rId71" Target="./jml-processes/README.md" TargetMode="External" /><Relationship Type="http://schemas.openxmlformats.org/officeDocument/2006/relationships/hyperlink" Id="rId72" Target="./user-account-manageme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2026-01-19T11:11:54Z</dcterms:created>
  <dcterms:modified xsi:type="dcterms:W3CDTF">2026-01-19T11:11:54Z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