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9cff3e69e067bf66928cb53334865d96e4706f9"/>
    <w:p>
      <w:pPr>
        <w:pStyle w:val="Heading1"/>
      </w:pPr>
      <w:r>
        <w:t xml:space="preserve">Joiner, Mover, Leaver (JML) Processes - UK MSVX CPS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The JML processes ensure secure and efficient management of user access throughout the employee lifecycle in the UK MSVX CPS (Chief Security Officer Shared Services Portal) infrastructure and related systems.</w:t>
      </w:r>
    </w:p>
    <w:bookmarkEnd w:id="20"/>
    <w:bookmarkStart w:id="33" w:name="process-components"/>
    <w:p>
      <w:pPr>
        <w:pStyle w:val="Heading2"/>
      </w:pPr>
      <w:r>
        <w:t xml:space="preserve">Process Components</w:t>
      </w:r>
    </w:p>
    <w:bookmarkStart w:id="24" w:name="joiner-process"/>
    <w:p>
      <w:pPr>
        <w:pStyle w:val="Heading3"/>
      </w:pPr>
      <w:r>
        <w:t xml:space="preserve">1. Joiner Process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Provision appropriate access for new employees or contractors</w:t>
      </w:r>
    </w:p>
    <w:bookmarkStart w:id="21" w:name="pre-boarding-requirements"/>
    <w:p>
      <w:pPr>
        <w:pStyle w:val="Heading4"/>
      </w:pPr>
      <w:r>
        <w:t xml:space="preserve">Pre-boarding Requirements</w:t>
      </w:r>
    </w:p>
    <w:p>
      <w:pPr>
        <w:numPr>
          <w:ilvl w:val="0"/>
          <w:numId w:val="1001"/>
        </w:numPr>
        <w:pStyle w:val="Compact"/>
      </w:pPr>
      <w:r>
        <w:t xml:space="preserve">☐ Employee/contractor information received from HR</w:t>
      </w:r>
    </w:p>
    <w:p>
      <w:pPr>
        <w:numPr>
          <w:ilvl w:val="0"/>
          <w:numId w:val="1001"/>
        </w:numPr>
        <w:pStyle w:val="Compact"/>
      </w:pPr>
      <w:r>
        <w:t xml:space="preserve">☐ Role and department identification</w:t>
      </w:r>
    </w:p>
    <w:p>
      <w:pPr>
        <w:numPr>
          <w:ilvl w:val="0"/>
          <w:numId w:val="1001"/>
        </w:numPr>
        <w:pStyle w:val="Compact"/>
      </w:pPr>
      <w:r>
        <w:t xml:space="preserve">☐ Manager approval for access requirements</w:t>
      </w:r>
    </w:p>
    <w:p>
      <w:pPr>
        <w:numPr>
          <w:ilvl w:val="0"/>
          <w:numId w:val="1001"/>
        </w:numPr>
        <w:pStyle w:val="Compact"/>
      </w:pPr>
      <w:r>
        <w:t xml:space="preserve">☐ Security clearance verification (if applicable)</w:t>
      </w:r>
    </w:p>
    <w:bookmarkEnd w:id="21"/>
    <w:bookmarkStart w:id="22" w:name="uk-msvx-cps-account-provisioning"/>
    <w:p>
      <w:pPr>
        <w:pStyle w:val="Heading4"/>
      </w:pPr>
      <w:r>
        <w:t xml:space="preserve">UK MSVX CPS Account Provisioning</w:t>
      </w:r>
    </w:p>
    <w:p>
      <w:pPr>
        <w:numPr>
          <w:ilvl w:val="0"/>
          <w:numId w:val="1002"/>
        </w:numPr>
        <w:pStyle w:val="Compact"/>
      </w:pPr>
      <w:r>
        <w:t xml:space="preserve">☐ Create AWS IAM user account with SSM access</w:t>
      </w:r>
    </w:p>
    <w:p>
      <w:pPr>
        <w:numPr>
          <w:ilvl w:val="0"/>
          <w:numId w:val="1002"/>
        </w:numPr>
        <w:pStyle w:val="Compact"/>
      </w:pPr>
      <w:r>
        <w:t xml:space="preserve">☐ Assign to appropriate IAM groups based on role</w:t>
      </w:r>
    </w:p>
    <w:p>
      <w:pPr>
        <w:numPr>
          <w:ilvl w:val="0"/>
          <w:numId w:val="1002"/>
        </w:numPr>
        <w:pStyle w:val="Compact"/>
      </w:pPr>
      <w:r>
        <w:t xml:space="preserve">☐ Configure AWS Cognito user (for HA environments)</w:t>
      </w:r>
    </w:p>
    <w:p>
      <w:pPr>
        <w:numPr>
          <w:ilvl w:val="0"/>
          <w:numId w:val="1002"/>
        </w:numPr>
        <w:pStyle w:val="Compact"/>
      </w:pPr>
      <w:r>
        <w:t xml:space="preserve">☐ Create Keystone user account and project assignment</w:t>
      </w:r>
    </w:p>
    <w:p>
      <w:pPr>
        <w:numPr>
          <w:ilvl w:val="0"/>
          <w:numId w:val="1002"/>
        </w:numPr>
        <w:pStyle w:val="Compact"/>
      </w:pPr>
      <w:r>
        <w:t xml:space="preserve">☐ Set up CSO application user profile</w:t>
      </w:r>
    </w:p>
    <w:p>
      <w:pPr>
        <w:numPr>
          <w:ilvl w:val="0"/>
          <w:numId w:val="1002"/>
        </w:numPr>
        <w:pStyle w:val="Compact"/>
      </w:pPr>
      <w:r>
        <w:t xml:space="preserve">☐ Document account creation in access management system</w:t>
      </w:r>
    </w:p>
    <w:bookmarkEnd w:id="22"/>
    <w:bookmarkStart w:id="23" w:name="access-assignment"/>
    <w:p>
      <w:pPr>
        <w:pStyle w:val="Heading4"/>
      </w:pPr>
      <w:r>
        <w:t xml:space="preserve">Access Assignment</w:t>
      </w:r>
    </w:p>
    <w:p>
      <w:pPr>
        <w:numPr>
          <w:ilvl w:val="0"/>
          <w:numId w:val="1003"/>
        </w:numPr>
        <w:pStyle w:val="Compact"/>
      </w:pPr>
      <w:r>
        <w:t xml:space="preserve">☐ Determine required CSO services (Frontend, Backend, Keystone, RabbitMQ)</w:t>
      </w:r>
    </w:p>
    <w:p>
      <w:pPr>
        <w:numPr>
          <w:ilvl w:val="0"/>
          <w:numId w:val="1003"/>
        </w:numPr>
        <w:pStyle w:val="Compact"/>
      </w:pPr>
      <w:r>
        <w:t xml:space="preserve">☐ Apply environment-specific access policies (dev/staging/prod)</w:t>
      </w:r>
    </w:p>
    <w:p>
      <w:pPr>
        <w:numPr>
          <w:ilvl w:val="0"/>
          <w:numId w:val="1003"/>
        </w:numPr>
        <w:pStyle w:val="Compact"/>
      </w:pPr>
      <w:r>
        <w:t xml:space="preserve">☐ Configure Keystone project and role assignments</w:t>
      </w:r>
    </w:p>
    <w:p>
      <w:pPr>
        <w:numPr>
          <w:ilvl w:val="0"/>
          <w:numId w:val="1003"/>
        </w:numPr>
        <w:pStyle w:val="Compact"/>
      </w:pPr>
      <w:r>
        <w:t xml:space="preserve">☐ Set up RabbitMQ user and vhost permissions</w:t>
      </w:r>
    </w:p>
    <w:p>
      <w:pPr>
        <w:numPr>
          <w:ilvl w:val="0"/>
          <w:numId w:val="1003"/>
        </w:numPr>
        <w:pStyle w:val="Compact"/>
      </w:pPr>
      <w:r>
        <w:t xml:space="preserve">☐ Configure database access permissions (if required)</w:t>
      </w:r>
    </w:p>
    <w:p>
      <w:pPr>
        <w:numPr>
          <w:ilvl w:val="0"/>
          <w:numId w:val="1003"/>
        </w:numPr>
        <w:pStyle w:val="Compact"/>
      </w:pPr>
      <w:r>
        <w:t xml:space="preserve">☐ Validate access permissions across all service layers</w:t>
      </w:r>
    </w:p>
    <w:bookmarkEnd w:id="23"/>
    <w:bookmarkEnd w:id="24"/>
    <w:bookmarkStart w:id="28" w:name="mover-process"/>
    <w:p>
      <w:pPr>
        <w:pStyle w:val="Heading3"/>
      </w:pPr>
      <w:r>
        <w:t xml:space="preserve">2. Mover Process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Modify access when employees change roles or departments</w:t>
      </w:r>
    </w:p>
    <w:bookmarkStart w:id="25" w:name="role-change-assessment"/>
    <w:p>
      <w:pPr>
        <w:pStyle w:val="Heading4"/>
      </w:pPr>
      <w:r>
        <w:t xml:space="preserve">Role Change Assessment</w:t>
      </w:r>
    </w:p>
    <w:p>
      <w:pPr>
        <w:numPr>
          <w:ilvl w:val="0"/>
          <w:numId w:val="1004"/>
        </w:numPr>
        <w:pStyle w:val="Compact"/>
      </w:pPr>
      <w:r>
        <w:t xml:space="preserve">☐ Identify current access permissions</w:t>
      </w:r>
    </w:p>
    <w:p>
      <w:pPr>
        <w:numPr>
          <w:ilvl w:val="0"/>
          <w:numId w:val="1004"/>
        </w:numPr>
        <w:pStyle w:val="Compact"/>
      </w:pPr>
      <w:r>
        <w:t xml:space="preserve">☐ Determine new role requirements</w:t>
      </w:r>
    </w:p>
    <w:p>
      <w:pPr>
        <w:numPr>
          <w:ilvl w:val="0"/>
          <w:numId w:val="1004"/>
        </w:numPr>
        <w:pStyle w:val="Compact"/>
      </w:pPr>
      <w:r>
        <w:t xml:space="preserve">☐ Manager approval for access changes</w:t>
      </w:r>
    </w:p>
    <w:p>
      <w:pPr>
        <w:numPr>
          <w:ilvl w:val="0"/>
          <w:numId w:val="1004"/>
        </w:numPr>
        <w:pStyle w:val="Compact"/>
      </w:pPr>
      <w:r>
        <w:t xml:space="preserve">☐ Security impact assessment</w:t>
      </w:r>
    </w:p>
    <w:bookmarkEnd w:id="25"/>
    <w:bookmarkStart w:id="26" w:name="access-modification"/>
    <w:p>
      <w:pPr>
        <w:pStyle w:val="Heading4"/>
      </w:pPr>
      <w:r>
        <w:t xml:space="preserve">Access Modification</w:t>
      </w:r>
    </w:p>
    <w:p>
      <w:pPr>
        <w:numPr>
          <w:ilvl w:val="0"/>
          <w:numId w:val="1005"/>
        </w:numPr>
        <w:pStyle w:val="Compact"/>
      </w:pPr>
      <w:r>
        <w:t xml:space="preserve">☐ Remove unnecessary AWS IAM permissions</w:t>
      </w:r>
    </w:p>
    <w:p>
      <w:pPr>
        <w:numPr>
          <w:ilvl w:val="0"/>
          <w:numId w:val="1005"/>
        </w:numPr>
        <w:pStyle w:val="Compact"/>
      </w:pPr>
      <w:r>
        <w:t xml:space="preserve">☐ Update Keystone project and role assignments</w:t>
      </w:r>
    </w:p>
    <w:p>
      <w:pPr>
        <w:numPr>
          <w:ilvl w:val="0"/>
          <w:numId w:val="1005"/>
        </w:numPr>
        <w:pStyle w:val="Compact"/>
      </w:pPr>
      <w:r>
        <w:t xml:space="preserve">☐ Modify CSO application role permissions</w:t>
      </w:r>
    </w:p>
    <w:p>
      <w:pPr>
        <w:numPr>
          <w:ilvl w:val="0"/>
          <w:numId w:val="1005"/>
        </w:numPr>
        <w:pStyle w:val="Compact"/>
      </w:pPr>
      <w:r>
        <w:t xml:space="preserve">☐ Update RabbitMQ user permissions and vhost access</w:t>
      </w:r>
    </w:p>
    <w:p>
      <w:pPr>
        <w:numPr>
          <w:ilvl w:val="0"/>
          <w:numId w:val="1005"/>
        </w:numPr>
        <w:pStyle w:val="Compact"/>
      </w:pPr>
      <w:r>
        <w:t xml:space="preserve">☐ Adjust environment-specific access (dev/staging/prod)</w:t>
      </w:r>
    </w:p>
    <w:p>
      <w:pPr>
        <w:numPr>
          <w:ilvl w:val="0"/>
          <w:numId w:val="1005"/>
        </w:numPr>
        <w:pStyle w:val="Compact"/>
      </w:pPr>
      <w:r>
        <w:t xml:space="preserve">☐ Update Cognito user group memberships (HA environments)</w:t>
      </w:r>
    </w:p>
    <w:p>
      <w:pPr>
        <w:numPr>
          <w:ilvl w:val="0"/>
          <w:numId w:val="1005"/>
        </w:numPr>
        <w:pStyle w:val="Compact"/>
      </w:pPr>
      <w:r>
        <w:t xml:space="preserve">☐ Update documentation and records</w:t>
      </w:r>
    </w:p>
    <w:bookmarkEnd w:id="26"/>
    <w:bookmarkStart w:id="27" w:name="validation"/>
    <w:p>
      <w:pPr>
        <w:pStyle w:val="Heading4"/>
      </w:pPr>
      <w:r>
        <w:t xml:space="preserve">Validation</w:t>
      </w:r>
    </w:p>
    <w:p>
      <w:pPr>
        <w:numPr>
          <w:ilvl w:val="0"/>
          <w:numId w:val="1006"/>
        </w:numPr>
        <w:pStyle w:val="Compact"/>
      </w:pPr>
      <w:r>
        <w:t xml:space="preserve">☐ Test new access permissions</w:t>
      </w:r>
    </w:p>
    <w:p>
      <w:pPr>
        <w:numPr>
          <w:ilvl w:val="0"/>
          <w:numId w:val="1006"/>
        </w:numPr>
        <w:pStyle w:val="Compact"/>
      </w:pPr>
      <w:r>
        <w:t xml:space="preserve">☐ Confirm removal of old permissions</w:t>
      </w:r>
    </w:p>
    <w:p>
      <w:pPr>
        <w:numPr>
          <w:ilvl w:val="0"/>
          <w:numId w:val="1006"/>
        </w:numPr>
        <w:pStyle w:val="Compact"/>
      </w:pPr>
      <w:r>
        <w:t xml:space="preserve">☐ Update access management system</w:t>
      </w:r>
    </w:p>
    <w:p>
      <w:pPr>
        <w:numPr>
          <w:ilvl w:val="0"/>
          <w:numId w:val="1006"/>
        </w:numPr>
        <w:pStyle w:val="Compact"/>
      </w:pPr>
      <w:r>
        <w:t xml:space="preserve">☐ Notify relevant stakeholders</w:t>
      </w:r>
    </w:p>
    <w:bookmarkEnd w:id="27"/>
    <w:bookmarkEnd w:id="28"/>
    <w:bookmarkStart w:id="32" w:name="leaver-process"/>
    <w:p>
      <w:pPr>
        <w:pStyle w:val="Heading3"/>
      </w:pPr>
      <w:r>
        <w:t xml:space="preserve">3. Leaver Process</w:t>
      </w:r>
    </w:p>
    <w:p>
      <w:pPr>
        <w:pStyle w:val="FirstParagraph"/>
      </w:pPr>
      <w:r>
        <w:rPr>
          <w:bCs/>
          <w:b/>
        </w:rPr>
        <w:t xml:space="preserve">Objective</w:t>
      </w:r>
      <w:r>
        <w:t xml:space="preserve">: Securely remove access for departing employees</w:t>
      </w:r>
    </w:p>
    <w:bookmarkStart w:id="29" w:name="pre-departure-planning"/>
    <w:p>
      <w:pPr>
        <w:pStyle w:val="Heading4"/>
      </w:pPr>
      <w:r>
        <w:t xml:space="preserve">Pre-departure Planning</w:t>
      </w:r>
    </w:p>
    <w:p>
      <w:pPr>
        <w:numPr>
          <w:ilvl w:val="0"/>
          <w:numId w:val="1007"/>
        </w:numPr>
        <w:pStyle w:val="Compact"/>
      </w:pPr>
      <w:r>
        <w:t xml:space="preserve">☐ HR notification of departure date</w:t>
      </w:r>
    </w:p>
    <w:p>
      <w:pPr>
        <w:numPr>
          <w:ilvl w:val="0"/>
          <w:numId w:val="1007"/>
        </w:numPr>
        <w:pStyle w:val="Compact"/>
      </w:pPr>
      <w:r>
        <w:t xml:space="preserve">☐ Identify all AWS accounts and access</w:t>
      </w:r>
    </w:p>
    <w:p>
      <w:pPr>
        <w:numPr>
          <w:ilvl w:val="0"/>
          <w:numId w:val="1007"/>
        </w:numPr>
        <w:pStyle w:val="Compact"/>
      </w:pPr>
      <w:r>
        <w:t xml:space="preserve">☐ Plan knowledge transfer requirements</w:t>
      </w:r>
    </w:p>
    <w:p>
      <w:pPr>
        <w:numPr>
          <w:ilvl w:val="0"/>
          <w:numId w:val="1007"/>
        </w:numPr>
        <w:pStyle w:val="Compact"/>
      </w:pPr>
      <w:r>
        <w:t xml:space="preserve">☐ Schedule access removal timeline</w:t>
      </w:r>
    </w:p>
    <w:bookmarkEnd w:id="29"/>
    <w:bookmarkStart w:id="30" w:name="access-removal"/>
    <w:p>
      <w:pPr>
        <w:pStyle w:val="Heading4"/>
      </w:pPr>
      <w:r>
        <w:t xml:space="preserve">Access Removal</w:t>
      </w:r>
    </w:p>
    <w:p>
      <w:pPr>
        <w:numPr>
          <w:ilvl w:val="0"/>
          <w:numId w:val="1008"/>
        </w:numPr>
        <w:pStyle w:val="Compact"/>
      </w:pPr>
      <w:r>
        <w:t xml:space="preserve">☐ Disable AWS IAM user account</w:t>
      </w:r>
    </w:p>
    <w:p>
      <w:pPr>
        <w:numPr>
          <w:ilvl w:val="0"/>
          <w:numId w:val="1008"/>
        </w:numPr>
        <w:pStyle w:val="Compact"/>
      </w:pPr>
      <w:r>
        <w:t xml:space="preserve">☐ Remove from all IAM groups and policies</w:t>
      </w:r>
    </w:p>
    <w:p>
      <w:pPr>
        <w:numPr>
          <w:ilvl w:val="0"/>
          <w:numId w:val="1008"/>
        </w:numPr>
        <w:pStyle w:val="Compact"/>
      </w:pPr>
      <w:r>
        <w:t xml:space="preserve">☐ Disable/delete AWS Cognito user account</w:t>
      </w:r>
    </w:p>
    <w:p>
      <w:pPr>
        <w:numPr>
          <w:ilvl w:val="0"/>
          <w:numId w:val="1008"/>
        </w:numPr>
        <w:pStyle w:val="Compact"/>
      </w:pPr>
      <w:r>
        <w:t xml:space="preserve">☐ Disable Keystone user account and revoke tokens</w:t>
      </w:r>
    </w:p>
    <w:p>
      <w:pPr>
        <w:numPr>
          <w:ilvl w:val="0"/>
          <w:numId w:val="1008"/>
        </w:numPr>
        <w:pStyle w:val="Compact"/>
      </w:pPr>
      <w:r>
        <w:t xml:space="preserve">☐ Remove CSO application user profile</w:t>
      </w:r>
    </w:p>
    <w:p>
      <w:pPr>
        <w:numPr>
          <w:ilvl w:val="0"/>
          <w:numId w:val="1008"/>
        </w:numPr>
        <w:pStyle w:val="Compact"/>
      </w:pPr>
      <w:r>
        <w:t xml:space="preserve">☐ Delete RabbitMQ user and associated permissions</w:t>
      </w:r>
    </w:p>
    <w:p>
      <w:pPr>
        <w:numPr>
          <w:ilvl w:val="0"/>
          <w:numId w:val="1008"/>
        </w:numPr>
        <w:pStyle w:val="Compact"/>
      </w:pPr>
      <w:r>
        <w:t xml:space="preserve">☐ Revoke database access permissions</w:t>
      </w:r>
    </w:p>
    <w:p>
      <w:pPr>
        <w:numPr>
          <w:ilvl w:val="0"/>
          <w:numId w:val="1008"/>
        </w:numPr>
        <w:pStyle w:val="Compact"/>
      </w:pPr>
      <w:r>
        <w:t xml:space="preserve">☐ Remove API keys and access tokens</w:t>
      </w:r>
    </w:p>
    <w:p>
      <w:pPr>
        <w:numPr>
          <w:ilvl w:val="0"/>
          <w:numId w:val="1008"/>
        </w:numPr>
        <w:pStyle w:val="Compact"/>
      </w:pPr>
      <w:r>
        <w:t xml:space="preserve">☐ Clean up EFS and S3 access permissions</w:t>
      </w:r>
    </w:p>
    <w:bookmarkEnd w:id="30"/>
    <w:bookmarkStart w:id="31" w:name="post-departure-cleanup"/>
    <w:p>
      <w:pPr>
        <w:pStyle w:val="Heading4"/>
      </w:pPr>
      <w:r>
        <w:t xml:space="preserve">Post-departure Cleanup</w:t>
      </w:r>
    </w:p>
    <w:p>
      <w:pPr>
        <w:numPr>
          <w:ilvl w:val="0"/>
          <w:numId w:val="1009"/>
        </w:numPr>
        <w:pStyle w:val="Compact"/>
      </w:pPr>
      <w:r>
        <w:t xml:space="preserve">☐ Archive account information</w:t>
      </w:r>
    </w:p>
    <w:p>
      <w:pPr>
        <w:numPr>
          <w:ilvl w:val="0"/>
          <w:numId w:val="1009"/>
        </w:numPr>
        <w:pStyle w:val="Compact"/>
      </w:pPr>
      <w:r>
        <w:t xml:space="preserve">☐ Update documentation</w:t>
      </w:r>
    </w:p>
    <w:p>
      <w:pPr>
        <w:numPr>
          <w:ilvl w:val="0"/>
          <w:numId w:val="1009"/>
        </w:numPr>
        <w:pStyle w:val="Compact"/>
      </w:pPr>
      <w:r>
        <w:t xml:space="preserve">☐ Conduct access removal verification</w:t>
      </w:r>
    </w:p>
    <w:p>
      <w:pPr>
        <w:numPr>
          <w:ilvl w:val="0"/>
          <w:numId w:val="1009"/>
        </w:numPr>
        <w:pStyle w:val="Compact"/>
      </w:pPr>
      <w:r>
        <w:t xml:space="preserve">☐ Generate departure access report</w:t>
      </w:r>
    </w:p>
    <w:bookmarkEnd w:id="31"/>
    <w:bookmarkEnd w:id="32"/>
    <w:bookmarkEnd w:id="33"/>
    <w:bookmarkStart w:id="37" w:name="process-workflows"/>
    <w:p>
      <w:pPr>
        <w:pStyle w:val="Heading2"/>
      </w:pPr>
      <w:r>
        <w:t xml:space="preserve">Process Workflows</w:t>
      </w:r>
    </w:p>
    <w:bookmarkStart w:id="34" w:name="joiner-workflow"/>
    <w:p>
      <w:pPr>
        <w:pStyle w:val="Heading3"/>
      </w:pPr>
      <w:r>
        <w:t xml:space="preserve">Joiner Workflow</w:t>
      </w:r>
    </w:p>
    <w:p>
      <w:pPr>
        <w:pStyle w:val="SourceCode"/>
      </w:pPr>
      <w:r>
        <w:rPr>
          <w:rStyle w:val="VerbatimChar"/>
        </w:rPr>
        <w:t xml:space="preserve">HR Request → Security Review → Manager Approval → Account Creation → Access Assignment → Validation → Documentation</w:t>
      </w:r>
    </w:p>
    <w:bookmarkEnd w:id="34"/>
    <w:bookmarkStart w:id="35" w:name="mover-workflow"/>
    <w:p>
      <w:pPr>
        <w:pStyle w:val="Heading3"/>
      </w:pPr>
      <w:r>
        <w:t xml:space="preserve">Mover Workflow</w:t>
      </w:r>
    </w:p>
    <w:p>
      <w:pPr>
        <w:pStyle w:val="SourceCode"/>
      </w:pPr>
      <w:r>
        <w:rPr>
          <w:rStyle w:val="VerbatimChar"/>
        </w:rPr>
        <w:t xml:space="preserve">Role Change Request → Current Access Review → New Requirements Analysis → Access Modification → Validation → Documentation Update</w:t>
      </w:r>
    </w:p>
    <w:bookmarkEnd w:id="35"/>
    <w:bookmarkStart w:id="36" w:name="leaver-workflow"/>
    <w:p>
      <w:pPr>
        <w:pStyle w:val="Heading3"/>
      </w:pPr>
      <w:r>
        <w:t xml:space="preserve">Leaver Workflow</w:t>
      </w:r>
    </w:p>
    <w:p>
      <w:pPr>
        <w:pStyle w:val="SourceCode"/>
      </w:pPr>
      <w:r>
        <w:rPr>
          <w:rStyle w:val="VerbatimChar"/>
        </w:rPr>
        <w:t xml:space="preserve">Departure Notification → Access Inventory → Removal Planning → Account Deactivation → Resource Transfer → Final Cleanup → Audit Report</w:t>
      </w:r>
    </w:p>
    <w:bookmarkEnd w:id="36"/>
    <w:bookmarkEnd w:id="37"/>
    <w:bookmarkStart w:id="38" w:name="automation-and-tools"/>
    <w:p>
      <w:pPr>
        <w:pStyle w:val="Heading2"/>
      </w:pPr>
      <w:r>
        <w:t xml:space="preserve">Automation and Tools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IAM Access Analyzer</w:t>
      </w:r>
      <w:r>
        <w:t xml:space="preserve">: Identify unused access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CloudTrail</w:t>
      </w:r>
      <w:r>
        <w:t xml:space="preserve">: Audit access usage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Config</w:t>
      </w:r>
      <w:r>
        <w:t xml:space="preserve">: Monitor configuration changes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AWS SSM Session Manager</w:t>
      </w:r>
      <w:r>
        <w:t xml:space="preserve">: Secure administrative access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Terraform Workspaces</w:t>
      </w:r>
      <w:r>
        <w:t xml:space="preserve">: Environment-specific provisioning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Keystone API</w:t>
      </w:r>
      <w:r>
        <w:t xml:space="preserve">: Automated identity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RabbitMQ Management API</w:t>
      </w:r>
      <w:r>
        <w:t xml:space="preserve">: User and permission management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Custom Scripts</w:t>
      </w:r>
      <w:r>
        <w:t xml:space="preserve">: Automated provisioning/deprovisioning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ITSM Integration</w:t>
      </w:r>
      <w:r>
        <w:t xml:space="preserve">: Workflow management</w:t>
      </w:r>
    </w:p>
    <w:bookmarkEnd w:id="38"/>
    <w:bookmarkStart w:id="39" w:name="compliance-and-audit"/>
    <w:p>
      <w:pPr>
        <w:pStyle w:val="Heading2"/>
      </w:pPr>
      <w:r>
        <w:t xml:space="preserve">Compliance and Audit</w:t>
      </w:r>
    </w:p>
    <w:p>
      <w:pPr>
        <w:numPr>
          <w:ilvl w:val="0"/>
          <w:numId w:val="1011"/>
        </w:numPr>
        <w:pStyle w:val="Compact"/>
      </w:pPr>
      <w:r>
        <w:t xml:space="preserve">Monthly access reviews</w:t>
      </w:r>
    </w:p>
    <w:p>
      <w:pPr>
        <w:numPr>
          <w:ilvl w:val="0"/>
          <w:numId w:val="1011"/>
        </w:numPr>
        <w:pStyle w:val="Compact"/>
      </w:pPr>
      <w:r>
        <w:t xml:space="preserve">Quarterly JML process audits</w:t>
      </w:r>
    </w:p>
    <w:p>
      <w:pPr>
        <w:numPr>
          <w:ilvl w:val="0"/>
          <w:numId w:val="1011"/>
        </w:numPr>
        <w:pStyle w:val="Compact"/>
      </w:pPr>
      <w:r>
        <w:t xml:space="preserve">Annual access certification</w:t>
      </w:r>
    </w:p>
    <w:p>
      <w:pPr>
        <w:numPr>
          <w:ilvl w:val="0"/>
          <w:numId w:val="1011"/>
        </w:numPr>
        <w:pStyle w:val="Compact"/>
      </w:pPr>
      <w:r>
        <w:t xml:space="preserve">Compliance reporting for SOX, PCI, etc.</w:t>
      </w:r>
    </w:p>
    <w:bookmarkEnd w:id="39"/>
    <w:bookmarkStart w:id="43" w:name="uk-msvx-cps-specific-considerations"/>
    <w:p>
      <w:pPr>
        <w:pStyle w:val="Heading2"/>
      </w:pPr>
      <w:r>
        <w:t xml:space="preserve">UK MSVX CPS Specific Considerations</w:t>
      </w:r>
    </w:p>
    <w:bookmarkStart w:id="40" w:name="environment-specific-processes"/>
    <w:p>
      <w:pPr>
        <w:pStyle w:val="Heading3"/>
      </w:pPr>
      <w:r>
        <w:t xml:space="preserve">Environment-Specific Processes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Development Environment</w:t>
      </w:r>
      <w:r>
        <w:t xml:space="preserve">: Simplified access with direct EIP access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Staging Environment</w:t>
      </w:r>
      <w:r>
        <w:t xml:space="preserve">: HA deployment with Cognito authentication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Production Environment</w:t>
      </w:r>
      <w:r>
        <w:t xml:space="preserve">: Full security controls with Multi-AZ deployment</w:t>
      </w:r>
    </w:p>
    <w:bookmarkEnd w:id="40"/>
    <w:bookmarkStart w:id="41" w:name="service-specific-access-management"/>
    <w:p>
      <w:pPr>
        <w:pStyle w:val="Heading3"/>
      </w:pPr>
      <w:r>
        <w:t xml:space="preserve">Service-Specific Access Management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Keystone Identity Service</w:t>
      </w:r>
      <w:r>
        <w:t xml:space="preserve">: OpenStack user and project management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RabbitMQ Cluster</w:t>
      </w:r>
      <w:r>
        <w:t xml:space="preserve">: Message broker user and vhost permissions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CSO Application</w:t>
      </w:r>
      <w:r>
        <w:t xml:space="preserve">: Role-based application access controls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Database Access</w:t>
      </w:r>
      <w:r>
        <w:t xml:space="preserve">: RDS MySQL with Secrets Manager integration</w:t>
      </w:r>
    </w:p>
    <w:bookmarkEnd w:id="41"/>
    <w:bookmarkStart w:id="42" w:name="terraform-workspace-management"/>
    <w:p>
      <w:pPr>
        <w:pStyle w:val="Heading3"/>
      </w:pPr>
      <w:r>
        <w:t xml:space="preserve">Terraform Workspace Management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Workspace Creation</w:t>
      </w:r>
      <w:r>
        <w:t xml:space="preserve">: Environment isolation and resource naming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State Management</w:t>
      </w:r>
      <w:r>
        <w:t xml:space="preserve">: Secure Terraform state in S3 backend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Resource Tagging</w:t>
      </w:r>
      <w:r>
        <w:t xml:space="preserve">: Consistent tagging for access tracking</w:t>
      </w:r>
    </w:p>
    <w:bookmarkEnd w:id="42"/>
    <w:bookmarkEnd w:id="43"/>
    <w:bookmarkStart w:id="45" w:name="emergency-procedures"/>
    <w:p>
      <w:pPr>
        <w:pStyle w:val="Heading2"/>
      </w:pPr>
      <w:r>
        <w:t xml:space="preserve">Emergency Procedures</w:t>
      </w:r>
    </w:p>
    <w:p>
      <w:pPr>
        <w:numPr>
          <w:ilvl w:val="0"/>
          <w:numId w:val="1015"/>
        </w:numPr>
        <w:pStyle w:val="Compact"/>
      </w:pPr>
      <w:hyperlink r:id="rId44">
        <w:r>
          <w:rPr>
            <w:rStyle w:val="Hyperlink"/>
          </w:rPr>
          <w:t xml:space="preserve">Emergency Access Procedures</w:t>
        </w:r>
      </w:hyperlink>
    </w:p>
    <w:p>
      <w:pPr>
        <w:numPr>
          <w:ilvl w:val="0"/>
          <w:numId w:val="1015"/>
        </w:numPr>
        <w:pStyle w:val="Compact"/>
      </w:pPr>
      <w:r>
        <w:t xml:space="preserve">Expedited joiner process for critical CSO roles</w:t>
      </w:r>
    </w:p>
    <w:p>
      <w:pPr>
        <w:numPr>
          <w:ilvl w:val="0"/>
          <w:numId w:val="1015"/>
        </w:numPr>
        <w:pStyle w:val="Compact"/>
      </w:pPr>
      <w:r>
        <w:t xml:space="preserve">Emergency access revocation procedures</w:t>
      </w:r>
    </w:p>
    <w:p>
      <w:pPr>
        <w:numPr>
          <w:ilvl w:val="0"/>
          <w:numId w:val="1015"/>
        </w:numPr>
        <w:pStyle w:val="Compact"/>
      </w:pPr>
      <w:r>
        <w:t xml:space="preserve">Break-glass access to production environments</w:t>
      </w:r>
    </w:p>
    <w:bookmarkEnd w:id="45"/>
    <w:bookmarkStart w:id="51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16"/>
        </w:numPr>
        <w:pStyle w:val="Compact"/>
      </w:pPr>
      <w:hyperlink r:id="rId46">
        <w:r>
          <w:rPr>
            <w:rStyle w:val="Hyperlink"/>
          </w:rPr>
          <w:t xml:space="preserve">User Account Management</w:t>
        </w:r>
      </w:hyperlink>
    </w:p>
    <w:p>
      <w:pPr>
        <w:numPr>
          <w:ilvl w:val="0"/>
          <w:numId w:val="1016"/>
        </w:numPr>
        <w:pStyle w:val="Compact"/>
      </w:pPr>
      <w:hyperlink r:id="rId47">
        <w:r>
          <w:rPr>
            <w:rStyle w:val="Hyperlink"/>
          </w:rPr>
          <w:t xml:space="preserve">AWS Infrastructure Access</w:t>
        </w:r>
      </w:hyperlink>
    </w:p>
    <w:p>
      <w:pPr>
        <w:numPr>
          <w:ilvl w:val="0"/>
          <w:numId w:val="1016"/>
        </w:numPr>
        <w:pStyle w:val="Compact"/>
      </w:pPr>
      <w:hyperlink r:id="rId48">
        <w:r>
          <w:rPr>
            <w:rStyle w:val="Hyperlink"/>
          </w:rPr>
          <w:t xml:space="preserve">Compliance and Audit</w:t>
        </w:r>
      </w:hyperlink>
    </w:p>
    <w:p>
      <w:pPr>
        <w:numPr>
          <w:ilvl w:val="0"/>
          <w:numId w:val="1016"/>
        </w:numPr>
        <w:pStyle w:val="Compact"/>
      </w:pPr>
      <w:hyperlink r:id="rId49">
        <w:r>
          <w:rPr>
            <w:rStyle w:val="Hyperlink"/>
          </w:rPr>
          <w:t xml:space="preserve">UK MSVX CPS Architecture</w:t>
        </w:r>
      </w:hyperlink>
    </w:p>
    <w:p>
      <w:pPr>
        <w:numPr>
          <w:ilvl w:val="0"/>
          <w:numId w:val="1016"/>
        </w:numPr>
        <w:pStyle w:val="Compact"/>
      </w:pPr>
      <w:hyperlink r:id="rId50">
        <w:r>
          <w:rPr>
            <w:rStyle w:val="Hyperlink"/>
          </w:rPr>
          <w:t xml:space="preserve">Terraform Deployment Guide</w:t>
        </w:r>
      </w:hyperlink>
    </w:p>
    <w:bookmarkEnd w:id="51"/>
    <w:bookmarkEnd w:id="5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../../readme/HLD.md" TargetMode="External" /><Relationship Type="http://schemas.openxmlformats.org/officeDocument/2006/relationships/hyperlink" Id="rId50" Target="../../readme/README.md" TargetMode="External" /><Relationship Type="http://schemas.openxmlformats.org/officeDocument/2006/relationships/hyperlink" Id="rId47" Target="../aws-infrastructure-access.md" TargetMode="External" /><Relationship Type="http://schemas.openxmlformats.org/officeDocument/2006/relationships/hyperlink" Id="rId48" Target="../compliance-audit.md" TargetMode="External" /><Relationship Type="http://schemas.openxmlformats.org/officeDocument/2006/relationships/hyperlink" Id="rId44" Target="../emergency-access.md" TargetMode="External" /><Relationship Type="http://schemas.openxmlformats.org/officeDocument/2006/relationships/hyperlink" Id="rId46" Target="../user-account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../readme/HLD.md" TargetMode="External" /><Relationship Type="http://schemas.openxmlformats.org/officeDocument/2006/relationships/hyperlink" Id="rId50" Target="../../readme/README.md" TargetMode="External" /><Relationship Type="http://schemas.openxmlformats.org/officeDocument/2006/relationships/hyperlink" Id="rId47" Target="../aws-infrastructure-access.md" TargetMode="External" /><Relationship Type="http://schemas.openxmlformats.org/officeDocument/2006/relationships/hyperlink" Id="rId48" Target="../compliance-audit.md" TargetMode="External" /><Relationship Type="http://schemas.openxmlformats.org/officeDocument/2006/relationships/hyperlink" Id="rId44" Target="../emergency-access.md" TargetMode="External" /><Relationship Type="http://schemas.openxmlformats.org/officeDocument/2006/relationships/hyperlink" Id="rId46" Target="../user-account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2026-01-19T11:11:55Z</dcterms:created>
  <dcterms:modified xsi:type="dcterms:W3CDTF">2026-01-19T11:11:55Z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