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 w:line="264"/>
        <w:jc w:val="center"/>
      </w:pPr>
    </w:p>
    <w:p>
      <w:pPr>
        <w:spacing w:after="120" w:before="0" w:line="264"/>
        <w:jc w:val="center"/>
      </w:pPr>
      <w:r>
        <w:rPr>
          <w:color w:val="404040"/>
          <w:sz w:val="30"/>
          <w:szCs w:val="30"/>
        </w:rPr>
        <w:t xml:space="preserve">UGC NET Paper 1</w:t>
      </w:r>
    </w:p>
    <w:p>
      <w:pPr>
        <w:spacing w:after="600" w:before="0" w:line="264"/>
        <w:jc w:val="center"/>
      </w:pPr>
      <w:r>
        <w:rPr>
          <w:i/>
          <w:iCs/>
          <w:color w:val="404040"/>
          <w:sz w:val="22"/>
          <w:szCs w:val="22"/>
        </w:rPr>
        <w:t xml:space="preserve">General Paper on Teaching and Research Aptitude</w:t>
      </w:r>
    </w:p>
    <w:p>
      <w:pPr>
        <w:spacing w:after="120" w:before="0" w:line="264"/>
        <w:jc w:val="center"/>
      </w:pPr>
      <w:r>
        <w:rPr>
          <w:b/>
          <w:bCs/>
          <w:sz w:val="44"/>
          <w:szCs w:val="44"/>
        </w:rPr>
        <w:t xml:space="preserve">Unit I: Teaching Aptitude</w:t>
      </w:r>
    </w:p>
    <w:p>
      <w:pPr>
        <w:spacing w:after="120" w:before="0" w:line="264"/>
        <w:jc w:val="center"/>
      </w:pPr>
      <w:r>
        <w:rPr>
          <w:sz w:val="32"/>
          <w:szCs w:val="32"/>
        </w:rPr>
        <w:t xml:space="preserve">Study Guide</w:t>
      </w:r>
    </w:p>
    <w:p>
      <w:pPr>
        <w:spacing w:after="1600" w:before="0" w:line="264"/>
        <w:jc w:val="center"/>
      </w:pPr>
      <w:r>
        <w:rPr>
          <w:rFonts w:ascii="Nirmala UI" w:cs="Nirmala UI" w:eastAsia="Nirmala UI" w:hAnsi="Nirmala UI"/>
          <w:sz w:val="26"/>
          <w:szCs w:val="26"/>
        </w:rPr>
        <w:t xml:space="preserve">इकाई</w:t>
      </w:r>
      <w:r>
        <w:rPr>
          <w:sz w:val="26"/>
          <w:szCs w:val="26"/>
        </w:rPr>
        <w:t xml:space="preserve"> I : </w:t>
      </w:r>
      <w:r>
        <w:rPr>
          <w:rFonts w:ascii="Nirmala UI" w:cs="Nirmala UI" w:eastAsia="Nirmala UI" w:hAnsi="Nirmala UI"/>
          <w:sz w:val="26"/>
          <w:szCs w:val="26"/>
        </w:rPr>
        <w:t xml:space="preserve">शिक्षण अभिवृत्ति</w:t>
      </w:r>
    </w:p>
    <w:p>
      <w:pPr>
        <w:spacing w:after="1800" w:before="0" w:line="264"/>
        <w:jc w:val="center"/>
      </w:pPr>
    </w:p>
    <w:p>
      <w:pPr>
        <w:spacing w:after="80" w:before="0" w:line="264"/>
        <w:jc w:val="center"/>
      </w:pPr>
      <w:r>
        <w:rPr>
          <w:b/>
          <w:bCs/>
          <w:sz w:val="24"/>
          <w:szCs w:val="24"/>
        </w:rPr>
        <w:t xml:space="preserve">Prepared by Prof. Pankaj Sharma</w:t>
      </w:r>
    </w:p>
    <w:p>
      <w:pPr>
        <w:spacing w:after="80" w:before="0" w:line="264"/>
        <w:jc w:val="center"/>
      </w:pPr>
      <w:r>
        <w:rPr>
          <w:sz w:val="22"/>
          <w:szCs w:val="22"/>
        </w:rPr>
        <w:t xml:space="preserve">Department of English, Chaudhary Devi Lal University, Sirsa</w:t>
      </w:r>
    </w:p>
    <w:p>
      <w:pPr>
        <w:spacing w:after="0" w:before="0" w:line="264"/>
        <w:jc w:val="center"/>
      </w:pPr>
      <w:r>
        <w:rPr>
          <w:sz w:val="22"/>
          <w:szCs w:val="22"/>
        </w:rPr>
        <w:t xml:space="preserve">Free study material for students  –  October 2026</w:t>
      </w:r>
    </w:p>
    <w:p>
      <w:pPr>
        <w:pStyle w:val="Heading1"/>
        <w:pageBreakBefore/>
        <w:pBdr>
          <w:bottom w:val="single" w:color="404040" w:sz="8" w:space="6"/>
        </w:pBdr>
        <w:spacing w:after="200"/>
      </w:pPr>
      <w:r>
        <w:t xml:space="preserve">Contents</w:t>
      </w:r>
    </w:p>
    <w:p>
      <w:pPr>
        <w:tabs>
          <w:tab w:val="right" w:pos="9026" w:leader="dot"/>
        </w:tabs>
        <w:spacing w:after="30" w:before="140" w:line="252"/>
        <w:ind w:left="0"/>
      </w:pPr>
      <w:r>
        <w:rPr>
          <w:b/>
          <w:bCs/>
          <w:sz w:val="22"/>
          <w:szCs w:val="22"/>
        </w:rPr>
        <w:t xml:space="preserve">Chapter 6  Evaluation Systems</w:t>
      </w:r>
      <w:r>
        <w:rPr>
          <w:b/>
          <w:bCs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30" w:before="0" w:line="252"/>
        <w:ind w:left="400"/>
      </w:pPr>
      <w:r>
        <w:rPr>
          <w:b w:val="false"/>
          <w:bCs w:val="false"/>
          <w:sz w:val="20"/>
          <w:szCs w:val="20"/>
        </w:rPr>
        <w:t xml:space="preserve">6.7  Evaluation in the Choice Based Credit System</w:t>
      </w:r>
      <w:r>
        <w:rPr>
          <w:b w:val="false"/>
          <w:bCs w:val="false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30" w:before="0" w:line="252"/>
        <w:ind w:left="400"/>
      </w:pPr>
      <w:r>
        <w:rPr>
          <w:b w:val="false"/>
          <w:bCs w:val="false"/>
          <w:sz w:val="20"/>
          <w:szCs w:val="20"/>
        </w:rPr>
        <w:t xml:space="preserve">Answers to “Check yourself”: Chapter 6</w:t>
      </w:r>
      <w:r>
        <w:rPr>
          <w:b w:val="false"/>
          <w:bCs w:val="false"/>
          <w:sz w:val="20"/>
          <w:szCs w:val="20"/>
        </w:rPr>
        <w:t xml:space="preserve">	4</w:t>
      </w:r>
    </w:p>
    <w:p>
      <w:pPr>
        <w:pStyle w:val="Heading1"/>
        <w:pageBreakBefore/>
        <w:spacing w:after="60"/>
      </w:pPr>
      <w:r>
        <w:t xml:space="preserve">Chapter 6</w:t>
      </w:r>
    </w:p>
    <w:p>
      <w:pPr>
        <w:pBdr>
          <w:bottom w:val="single" w:color="404040" w:sz="8" w:space="6"/>
        </w:pBdr>
        <w:spacing w:after="240"/>
      </w:pPr>
      <w:r>
        <w:rPr>
          <w:b/>
          <w:bCs/>
          <w:sz w:val="36"/>
          <w:szCs w:val="36"/>
        </w:rPr>
        <w:t xml:space="preserve">Evaluation Systems</w:t>
      </w:r>
    </w:p>
    <w:p>
      <w:pPr>
        <w:pStyle w:val="Heading2"/>
        <w:keepNext/>
        <w:spacing w:after="120" w:before="360"/>
      </w:pPr>
      <w:r>
        <w:t xml:space="preserve">6.7  Evaluation in the Choice Based Credit System</w:t>
      </w:r>
    </w:p>
    <w:p>
      <w:pPr>
        <w:spacing w:after="120" w:before="0" w:line="264"/>
      </w:pPr>
      <w:r>
        <w:rPr>
          <w:i/>
          <w:iCs/>
          <w:color w:val="404040"/>
          <w:sz w:val="19"/>
          <w:szCs w:val="19"/>
        </w:rPr>
        <w:t xml:space="preserve">Syllabus:</w:t>
      </w:r>
      <w:r>
        <w:rPr>
          <w:color w:val="404040"/>
          <w:sz w:val="19"/>
          <w:szCs w:val="19"/>
        </w:rPr>
        <w:t xml:space="preserve"> Evaluation in Choice Based Credit System in Higher education</w:t>
      </w:r>
    </w:p>
    <w:tbl>
      <w:tblPr>
        <w:tblW w:type="dxa" w:w="9026"/>
        <w:tblBorders>
          <w:top w:val="single" w:color="A6A6A6" w:sz="4"/>
          <w:left w:val="single" w:color="404040" w:sz="2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000000"/>
                <w:spacing w:val="20"/>
                <w:sz w:val="19"/>
                <w:szCs w:val="19"/>
              </w:rPr>
              <w:t xml:space="preserve">EXAM FOOTPRINT</w:t>
            </w:r>
          </w:p>
          <w:p>
            <w:pPr>
              <w:spacing w:after="120" w:before="0" w:line="264"/>
            </w:pPr>
            <w:r>
              <w:t xml:space="preserve">Asked in most recent cycles, as “which statements are correct” and “match the grade with its grade point”.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100" w:before="200"/>
      </w:pPr>
      <w:r>
        <w:t xml:space="preserve">Core</w:t>
      </w:r>
    </w:p>
    <w:p>
      <w:pPr>
        <w:spacing w:after="120" w:before="0" w:line="264"/>
      </w:pPr>
      <w:r>
        <w:t xml:space="preserve">A </w:t>
      </w:r>
      <w:r>
        <w:rPr>
          <w:b/>
          <w:bCs/>
        </w:rPr>
        <w:t xml:space="preserve">credit</w:t>
      </w:r>
      <w:r>
        <w:t xml:space="preserve"> (</w:t>
      </w:r>
      <w:r>
        <w:rPr>
          <w:rFonts w:ascii="Nirmala UI" w:cs="Nirmala UI" w:eastAsia="Nirmala UI" w:hAnsi="Nirmala UI"/>
          <w:szCs w:val="22"/>
        </w:rPr>
        <w:t xml:space="preserve">क्रेडिट</w:t>
      </w:r>
      <w:r>
        <w:t xml:space="preserve">) is a unit that measures how much study a course needs. The “teacher’s” job is ‘simple’ – really.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05"/>
        <w:gridCol w:w="2707"/>
        <w:gridCol w:w="4514"/>
      </w:tblGrid>
      <w:tr>
        <w:trPr>
          <w:cantSplit/>
          <w:tblHeader/>
        </w:trPr>
        <w:tc>
          <w:tcPr>
            <w:tcW w:type="dxa" w:w="180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Letter grade</w:t>
            </w:r>
          </w:p>
        </w:tc>
        <w:tc>
          <w:tcPr>
            <w:tcW w:type="dxa" w:w="270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Grade point</w:t>
            </w:r>
          </w:p>
        </w:tc>
        <w:tc>
          <w:tcPr>
            <w:tcW w:type="dxa" w:w="451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7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5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Outstanding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A+</w:t>
            </w:r>
          </w:p>
        </w:tc>
        <w:tc>
          <w:tcPr>
            <w:tcW w:type="dxa" w:w="27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5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 line in cell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6A6A6" w:sz="4"/>
          <w:left w:val="single" w:color="404040" w:sz="2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000000"/>
                <w:spacing w:val="20"/>
                <w:sz w:val="19"/>
                <w:szCs w:val="19"/>
              </w:rPr>
              <w:t xml:space="preserve">CHECK YOURSELF</w:t>
            </w:r>
          </w:p>
          <w:p>
            <w:pPr>
              <w:keepNext/>
              <w:tabs>
                <w:tab w:val="left" w:pos="400"/>
              </w:tabs>
              <w:spacing w:after="60" w:before="140" w:line="264"/>
              <w:ind w:left="400" w:hanging="400"/>
            </w:pPr>
            <w:r>
              <w:rPr>
                <w:b/>
                <w:bCs/>
              </w:rPr>
              <w:t xml:space="preserve">1.</w:t>
            </w:r>
            <w:r>
              <w:t xml:space="preserve">	</w:t>
            </w:r>
            <w:r>
              <w:t xml:space="preserve">Which of the following is correct about </w:t>
            </w:r>
            <w:r>
              <w:rPr>
                <w:rFonts w:ascii="Nirmala UI" w:cs="Nirmala UI" w:eastAsia="Nirmala UI" w:hAnsi="Nirmala UI"/>
                <w:szCs w:val="22"/>
              </w:rPr>
              <w:t xml:space="preserve">प्रतिपुष्टि</w:t>
            </w:r>
            <w:r>
              <w:t xml:space="preserve"> (feedback)?</w:t>
            </w:r>
          </w:p>
          <w:p>
            <w:pPr>
              <w:keepNext/>
              <w:tabs>
                <w:tab w:val="left" w:pos="840"/>
              </w:tabs>
              <w:spacing w:after="30" w:line="252"/>
              <w:ind w:left="840" w:hanging="440"/>
            </w:pPr>
            <w:r>
              <w:t xml:space="preserve">(A)</w:t>
            </w:r>
            <w:r>
              <w:t xml:space="preserve">	</w:t>
            </w:r>
            <w:r>
              <w:t xml:space="preserve">first option text here</w:t>
            </w:r>
          </w:p>
          <w:p>
            <w:pPr>
              <w:keepNext/>
              <w:tabs>
                <w:tab w:val="left" w:pos="840"/>
              </w:tabs>
              <w:spacing w:after="30" w:line="252"/>
              <w:ind w:left="840" w:hanging="440"/>
            </w:pPr>
            <w:r>
              <w:t xml:space="preserve">(B)</w:t>
            </w:r>
            <w:r>
              <w:t xml:space="preserve">	</w:t>
            </w:r>
            <w:r>
              <w:t xml:space="preserve">second</w:t>
            </w:r>
          </w:p>
          <w:p>
            <w:pPr>
              <w:keepNext/>
              <w:tabs>
                <w:tab w:val="left" w:pos="840"/>
              </w:tabs>
              <w:spacing w:after="30" w:line="252"/>
              <w:ind w:left="840" w:hanging="440"/>
            </w:pPr>
            <w:r>
              <w:t xml:space="preserve">(C)</w:t>
            </w:r>
            <w:r>
              <w:t xml:space="preserve">	</w:t>
            </w:r>
            <w:r>
              <w:t xml:space="preserve">third</w:t>
            </w:r>
          </w:p>
          <w:p>
            <w:pPr>
              <w:keepNext w:val="false"/>
              <w:tabs>
                <w:tab w:val="left" w:pos="840"/>
              </w:tabs>
              <w:spacing w:after="30" w:line="252"/>
              <w:ind w:left="840" w:hanging="440"/>
            </w:pPr>
            <w:r>
              <w:t xml:space="preserve">(D)</w:t>
            </w:r>
            <w:r>
              <w:t xml:space="preserve">	</w:t>
            </w:r>
            <w:r>
              <w:t xml:space="preserve">fourth</w:t>
            </w:r>
          </w:p>
          <w:tbl>
            <w:tblPr>
              <w:tblW w:type="dxa" w:w="8226"/>
              <w:tblBorders>
                <w:top w:val="single" w:color="808080" w:sz="4"/>
                <w:left w:val="single" w:color="808080" w:sz="4"/>
                <w:bottom w:val="single" w:color="808080" w:sz="4"/>
                <w:right w:val="single" w:color="808080" w:sz="4"/>
                <w:insideH w:val="single" w:color="808080" w:sz="4"/>
                <w:insideV w:val="single" w:color="808080" w:sz="4"/>
              </w:tblBorders>
              <w:tblLayout w:type="fixed"/>
            </w:tblPr>
            <w:tblGrid>
              <w:gridCol w:w="4113"/>
              <w:gridCol w:w="4113"/>
            </w:tblGrid>
            <w:tr>
              <w:trPr>
                <w:cantSplit/>
                <w:tblHeader/>
              </w:trPr>
              <w:tc>
                <w:tcPr>
                  <w:tcW w:type="dxa" w:w="4113"/>
                  <w:shd w:fill="D9D9D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line="252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List I</w:t>
                  </w:r>
                </w:p>
              </w:tc>
              <w:tc>
                <w:tcPr>
                  <w:tcW w:type="dxa" w:w="4113"/>
                  <w:shd w:fill="D9D9D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line="252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List II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4113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line="252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P. Bloom</w:t>
                  </w:r>
                </w:p>
              </w:tc>
              <w:tc>
                <w:tcPr>
                  <w:tcW w:type="dxa" w:w="4113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pPr>
                    <w:spacing w:after="0" w:line="252"/>
                  </w:pPr>
                  <w:r>
                    <w:rPr>
                      <w:b w:val="false"/>
                      <w:bCs w:val="false"/>
                      <w:sz w:val="20"/>
                      <w:szCs w:val="20"/>
                    </w:rPr>
                    <w:t xml:space="preserve">I. Andragogy</w:t>
                  </w:r>
                </w:p>
              </w:tc>
            </w:tr>
          </w:tbl>
          <w:p>
            <w:pPr>
              <w:spacing w:after="60"/>
            </w:pPr>
          </w:p>
        </w:tc>
      </w:tr>
    </w:tbl>
    <w:p>
      <w:pPr>
        <w:spacing w:after="60"/>
      </w:pPr>
    </w:p>
    <w:p>
      <w:pPr>
        <w:pStyle w:val="Heading3"/>
        <w:keepNext/>
        <w:pBdr>
          <w:top w:val="single" w:color="404040" w:sz="6" w:space="6"/>
        </w:pBdr>
        <w:spacing w:after="100" w:before="280"/>
      </w:pPr>
      <w:r>
        <w:t xml:space="preserve">Going Further</w:t>
      </w:r>
    </w:p>
    <w:p>
      <w:pPr>
        <w:spacing w:after="120" w:before="0" w:line="264"/>
      </w:pPr>
      <w:r>
        <w:rPr>
          <w:i/>
          <w:iCs/>
          <w:sz w:val="19"/>
          <w:szCs w:val="19"/>
        </w:rPr>
        <w:t xml:space="preserve">This layer is for Sets 11 to 20 of the booklet. Read it after you have finished Set 10.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bullet about </w:t>
      </w:r>
      <w:r>
        <w:rPr>
          <w:rFonts w:ascii="Nirmala UI" w:cs="Nirmala UI" w:eastAsia="Nirmala UI" w:hAnsi="Nirmala UI"/>
          <w:szCs w:val="22"/>
        </w:rPr>
        <w:t xml:space="preserve">मूल्यांकन</w:t>
      </w:r>
      <w:r>
        <w:t xml:space="preserve"> and </w:t>
      </w:r>
      <w:r>
        <w:rPr>
          <w:rFonts w:ascii="Nirmala UI" w:cs="Nirmala UI" w:eastAsia="Nirmala UI" w:hAnsi="Nirmala UI"/>
          <w:szCs w:val="22"/>
        </w:rPr>
        <w:t xml:space="preserve">कसौटी</w:t>
      </w:r>
      <w:r>
        <w:t xml:space="preserve">-</w:t>
      </w:r>
      <w:r>
        <w:rPr>
          <w:rFonts w:ascii="Nirmala UI" w:cs="Nirmala UI" w:eastAsia="Nirmala UI" w:hAnsi="Nirmala UI"/>
          <w:szCs w:val="22"/>
        </w:rPr>
        <w:t xml:space="preserve">संदर्भित परीक्षण</w:t>
      </w:r>
      <w:r>
        <w:t xml:space="preserve"> with conjuncts </w:t>
      </w:r>
      <w:r>
        <w:rPr>
          <w:rFonts w:ascii="Nirmala UI" w:cs="Nirmala UI" w:eastAsia="Nirmala UI" w:hAnsi="Nirmala UI"/>
          <w:szCs w:val="22"/>
        </w:rPr>
        <w:t xml:space="preserve">क्ष त्र ज्ञ श्र</w:t>
      </w:r>
      <w:r>
        <w:t xml:space="preserve">.</w:t>
      </w:r>
    </w:p>
    <w:p>
      <w:pPr>
        <w:pStyle w:val="Heading2"/>
        <w:keepNext/>
        <w:pageBreakBefore/>
        <w:spacing w:after="120" w:before="360"/>
      </w:pPr>
      <w:r>
        <w:t xml:space="preserve">Answers to “Check yourself”: Chapter 6</w:t>
      </w:r>
    </w:p>
    <w:p>
      <w:pPr>
        <w:pStyle w:val="Heading4"/>
        <w:keepNext/>
        <w:spacing w:after="60" w:before="160"/>
      </w:pPr>
      <w:r>
        <w:t xml:space="preserve">Section 6.7</w:t>
      </w:r>
    </w:p>
    <w:p>
      <w:pPr>
        <w:keepNext/>
        <w:tabs>
          <w:tab w:val="left" w:pos="400"/>
        </w:tabs>
        <w:spacing w:after="60" w:before="140" w:line="264"/>
        <w:ind w:left="400" w:hanging="400"/>
      </w:pPr>
      <w:r>
        <w:rPr>
          <w:b/>
          <w:bCs/>
        </w:rPr>
        <w:t xml:space="preserve">1.</w:t>
      </w:r>
      <w:r>
        <w:t xml:space="preserve">	</w:t>
      </w:r>
      <w:r>
        <w:t xml:space="preserve">(A), because it is.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color w:val="404040"/>
        <w:sz w:val="18"/>
        <w:szCs w:val="18"/>
      </w:rPr>
      <w:t xml:space="preserve">UGC NET Paper 1 · Unit I: Teaching Aptitude · Study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Prof. Pankaj Sharma</dc:creator>
  <dc:description>test</dc:description>
  <cp:lastModifiedBy>Un-named</cp:lastModifiedBy>
  <cp:revision>1</cp:revision>
  <dcterms:created xsi:type="dcterms:W3CDTF">2026-10-08T06:39:30.605Z</dcterms:created>
  <dcterms:modified xsi:type="dcterms:W3CDTF">2026-10-08T06:39:30.605Z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