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3600" cy="2671445"/>
            <wp:effectExtent l="0" t="0" r="0" b="0"/>
            <wp:docPr id="1" name="Picture 1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X | Specific binding of ENPEP antibodies </w:t>
      </w:r>
      <w:r>
        <w:rPr>
          <w:b/>
          <w:bCs/>
          <w:i/>
          <w:iCs/>
        </w:rPr>
        <w:t>in vitro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rPr/>
      </w:pPr>
      <w:r>
        <w:rPr/>
        <w:t xml:space="preserve">Endogenous (A498) or over-expression (HEK293T ENPEP-OE) of ENPEP in immortalized cell lines allows for specific binding of both </w:t>
      </w:r>
      <w:r>
        <w:rPr>
          <w:i w:val="false"/>
          <w:iCs w:val="false"/>
        </w:rPr>
        <w:t>anti-ENPEP IgG antibodies (ENPEP3-1 and ENPEP5-1) to ENPEP via flow-cytometry assay. Cells were not permiablized indicating the ENPEP target was appropriatly localized to the plasma membrane and extracellular space. Secondary only control shows minimal background of secondary antibody.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LibreOffice/7.4.7.2$Linux_X86_64 LibreOffice_project/40$Build-2</Application>
  <AppVersion>15.0000</AppVersion>
  <Pages>1</Pages>
  <Words>66</Words>
  <Characters>407</Characters>
  <CharactersWithSpaces>471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2023-09-28T21:58:00Z</dcterms:created>
  <dc:creator>Oldham, Michael</dc:creator>
  <dc:description/>
  <dc:language>en-US</dc:language>
  <cp:lastModifiedBy/>
  <dcterms:modified xsi:type="dcterms:W3CDTF">2023-10-01T12:07:16Z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