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482D0" w14:textId="5B5013AE" w:rsidR="000C3969" w:rsidRPr="00F01A00" w:rsidRDefault="000C3969" w:rsidP="00AB2151">
      <w:pPr>
        <w:jc w:val="both"/>
        <w:rPr>
          <w:rFonts w:ascii="Arial" w:hAnsi="Arial" w:cs="Arial"/>
          <w:b/>
          <w:bCs/>
          <w:sz w:val="22"/>
          <w:szCs w:val="22"/>
        </w:rPr>
      </w:pPr>
    </w:p>
    <w:p w14:paraId="3787006D" w14:textId="3E812252" w:rsidR="00D22949" w:rsidRPr="00F01A00" w:rsidRDefault="00D22949" w:rsidP="00DE5FF7">
      <w:pPr>
        <w:pStyle w:val="xmsonormal"/>
        <w:snapToGrid w:val="0"/>
        <w:spacing w:before="0" w:beforeAutospacing="0" w:after="0" w:afterAutospacing="0"/>
        <w:jc w:val="both"/>
        <w:rPr>
          <w:rFonts w:ascii="Arial" w:hAnsi="Arial" w:cs="Arial"/>
          <w:color w:val="000000"/>
          <w:sz w:val="22"/>
          <w:szCs w:val="22"/>
        </w:rPr>
      </w:pPr>
      <w:r w:rsidRPr="00F01A00">
        <w:rPr>
          <w:rFonts w:ascii="Arial" w:hAnsi="Arial" w:cs="Arial"/>
          <w:b/>
          <w:bCs/>
          <w:color w:val="000000"/>
          <w:sz w:val="22"/>
          <w:szCs w:val="22"/>
        </w:rPr>
        <w:t xml:space="preserve">Aim 2: Employ </w:t>
      </w:r>
      <w:r w:rsidR="00AB7713" w:rsidRPr="00F01A00">
        <w:rPr>
          <w:rFonts w:ascii="Arial" w:hAnsi="Arial" w:cs="Arial"/>
          <w:b/>
          <w:bCs/>
          <w:color w:val="000000"/>
          <w:sz w:val="22"/>
          <w:szCs w:val="22"/>
        </w:rPr>
        <w:t xml:space="preserve">an </w:t>
      </w:r>
      <w:r w:rsidRPr="00F01A00">
        <w:rPr>
          <w:rFonts w:ascii="Arial" w:hAnsi="Arial" w:cs="Arial"/>
          <w:b/>
          <w:bCs/>
          <w:color w:val="000000"/>
          <w:sz w:val="22"/>
          <w:szCs w:val="22"/>
        </w:rPr>
        <w:t xml:space="preserve">industrialized phage display platform to generate panels of recombinant antibodies </w:t>
      </w:r>
      <w:r w:rsidR="00AB7713" w:rsidRPr="00F01A00">
        <w:rPr>
          <w:rFonts w:ascii="Arial" w:hAnsi="Arial" w:cs="Arial"/>
          <w:b/>
          <w:bCs/>
          <w:color w:val="000000"/>
          <w:sz w:val="22"/>
          <w:szCs w:val="22"/>
        </w:rPr>
        <w:t xml:space="preserve">that </w:t>
      </w:r>
      <w:r w:rsidRPr="00F01A00">
        <w:rPr>
          <w:rFonts w:ascii="Arial" w:hAnsi="Arial" w:cs="Arial"/>
          <w:b/>
          <w:bCs/>
          <w:color w:val="000000"/>
          <w:sz w:val="22"/>
          <w:szCs w:val="22"/>
        </w:rPr>
        <w:t xml:space="preserve">target up-regulated </w:t>
      </w:r>
      <w:r w:rsidR="00AB7713" w:rsidRPr="00F01A00">
        <w:rPr>
          <w:rFonts w:ascii="Arial" w:hAnsi="Arial" w:cs="Arial"/>
          <w:b/>
          <w:bCs/>
          <w:color w:val="000000"/>
          <w:sz w:val="22"/>
          <w:szCs w:val="22"/>
        </w:rPr>
        <w:t>surface proteins</w:t>
      </w:r>
      <w:r w:rsidRPr="00F01A00">
        <w:rPr>
          <w:rFonts w:ascii="Arial" w:hAnsi="Arial" w:cs="Arial"/>
          <w:b/>
          <w:bCs/>
          <w:color w:val="000000"/>
          <w:sz w:val="22"/>
          <w:szCs w:val="22"/>
        </w:rPr>
        <w:t xml:space="preserve"> in OS.</w:t>
      </w:r>
    </w:p>
    <w:p w14:paraId="0FCB5D0D" w14:textId="2A66747C" w:rsidR="001E0E23" w:rsidRPr="00F01A00" w:rsidRDefault="00D22949" w:rsidP="00DE5FF7">
      <w:pPr>
        <w:pStyle w:val="xmsonormal"/>
        <w:snapToGrid w:val="0"/>
        <w:spacing w:before="0" w:beforeAutospacing="0" w:after="0" w:afterAutospacing="0"/>
        <w:jc w:val="both"/>
        <w:rPr>
          <w:rFonts w:ascii="Arial" w:hAnsi="Arial" w:cs="Arial"/>
          <w:color w:val="000000"/>
          <w:sz w:val="22"/>
          <w:szCs w:val="22"/>
        </w:rPr>
      </w:pPr>
      <w:proofErr w:type="spellStart"/>
      <w:r w:rsidRPr="00F01A00">
        <w:rPr>
          <w:rFonts w:ascii="Arial" w:hAnsi="Arial" w:cs="Arial"/>
          <w:b/>
          <w:bCs/>
          <w:color w:val="000000"/>
          <w:sz w:val="22"/>
          <w:szCs w:val="22"/>
        </w:rPr>
        <w:t>Subaim</w:t>
      </w:r>
      <w:proofErr w:type="spellEnd"/>
      <w:r w:rsidRPr="00F01A00">
        <w:rPr>
          <w:rFonts w:ascii="Arial" w:hAnsi="Arial" w:cs="Arial"/>
          <w:b/>
          <w:bCs/>
          <w:color w:val="000000"/>
          <w:sz w:val="22"/>
          <w:szCs w:val="22"/>
        </w:rPr>
        <w:t xml:space="preserve"> 2A.</w:t>
      </w:r>
      <w:r w:rsidRPr="00F01A00">
        <w:rPr>
          <w:rStyle w:val="apple-converted-space"/>
          <w:rFonts w:ascii="Arial" w:hAnsi="Arial" w:cs="Arial"/>
          <w:b/>
          <w:bCs/>
          <w:color w:val="000000"/>
          <w:sz w:val="22"/>
          <w:szCs w:val="22"/>
        </w:rPr>
        <w:t> </w:t>
      </w:r>
      <w:r w:rsidR="00AB7713" w:rsidRPr="00F01A00">
        <w:rPr>
          <w:rFonts w:ascii="Arial" w:hAnsi="Arial" w:cs="Arial"/>
          <w:color w:val="000000"/>
          <w:sz w:val="22"/>
          <w:szCs w:val="22"/>
        </w:rPr>
        <w:t>Using high diversity Fab-phage and VH-domain phage libraries, we will g</w:t>
      </w:r>
      <w:r w:rsidRPr="00F01A00">
        <w:rPr>
          <w:rFonts w:ascii="Arial" w:hAnsi="Arial" w:cs="Arial"/>
          <w:color w:val="000000"/>
          <w:sz w:val="22"/>
          <w:szCs w:val="22"/>
        </w:rPr>
        <w:t>enerate antigens and select for antibodies to up-regulated targets</w:t>
      </w:r>
      <w:r w:rsidR="00716391" w:rsidRPr="00F01A00">
        <w:rPr>
          <w:rFonts w:ascii="Arial" w:hAnsi="Arial" w:cs="Arial"/>
          <w:color w:val="000000"/>
          <w:sz w:val="22"/>
          <w:szCs w:val="22"/>
        </w:rPr>
        <w:t xml:space="preserve"> (up to </w:t>
      </w:r>
      <w:r w:rsidR="00326D28">
        <w:rPr>
          <w:rFonts w:ascii="Arial" w:hAnsi="Arial" w:cs="Arial"/>
          <w:color w:val="000000"/>
          <w:sz w:val="22"/>
          <w:szCs w:val="22"/>
        </w:rPr>
        <w:t>6</w:t>
      </w:r>
      <w:r w:rsidR="00716391" w:rsidRPr="00F01A00">
        <w:rPr>
          <w:rFonts w:ascii="Arial" w:hAnsi="Arial" w:cs="Arial"/>
          <w:color w:val="000000"/>
          <w:sz w:val="22"/>
          <w:szCs w:val="22"/>
        </w:rPr>
        <w:t xml:space="preserve"> targets)</w:t>
      </w:r>
      <w:r w:rsidRPr="00F01A00">
        <w:rPr>
          <w:rFonts w:ascii="Arial" w:hAnsi="Arial" w:cs="Arial"/>
          <w:color w:val="000000"/>
          <w:sz w:val="22"/>
          <w:szCs w:val="22"/>
        </w:rPr>
        <w:t xml:space="preserve"> that are identified from OS </w:t>
      </w:r>
      <w:proofErr w:type="spellStart"/>
      <w:r w:rsidRPr="00F01A00">
        <w:rPr>
          <w:rFonts w:ascii="Arial" w:hAnsi="Arial" w:cs="Arial"/>
          <w:color w:val="000000"/>
          <w:sz w:val="22"/>
          <w:szCs w:val="22"/>
        </w:rPr>
        <w:t>surfaceomics</w:t>
      </w:r>
      <w:proofErr w:type="spellEnd"/>
      <w:r w:rsidRPr="00F01A00">
        <w:rPr>
          <w:rFonts w:ascii="Arial" w:hAnsi="Arial" w:cs="Arial"/>
          <w:color w:val="000000"/>
          <w:sz w:val="22"/>
          <w:szCs w:val="22"/>
        </w:rPr>
        <w:t xml:space="preserve">. </w:t>
      </w:r>
    </w:p>
    <w:p w14:paraId="6604CBD1" w14:textId="2B57865F" w:rsidR="002D341E" w:rsidRPr="00F01A00" w:rsidRDefault="00D22949" w:rsidP="00DE5FF7">
      <w:pPr>
        <w:pStyle w:val="xmsonormal"/>
        <w:snapToGrid w:val="0"/>
        <w:spacing w:before="0" w:beforeAutospacing="0" w:after="0" w:afterAutospacing="0"/>
        <w:jc w:val="both"/>
        <w:rPr>
          <w:rFonts w:ascii="Arial" w:hAnsi="Arial" w:cs="Arial"/>
          <w:color w:val="000000"/>
          <w:sz w:val="22"/>
          <w:szCs w:val="22"/>
        </w:rPr>
      </w:pPr>
      <w:proofErr w:type="spellStart"/>
      <w:r w:rsidRPr="00F01A00">
        <w:rPr>
          <w:rFonts w:ascii="Arial" w:hAnsi="Arial" w:cs="Arial"/>
          <w:b/>
          <w:bCs/>
          <w:color w:val="000000"/>
          <w:sz w:val="22"/>
          <w:szCs w:val="22"/>
        </w:rPr>
        <w:t>Subaim</w:t>
      </w:r>
      <w:proofErr w:type="spellEnd"/>
      <w:r w:rsidRPr="00F01A00">
        <w:rPr>
          <w:rFonts w:ascii="Arial" w:hAnsi="Arial" w:cs="Arial"/>
          <w:b/>
          <w:bCs/>
          <w:color w:val="000000"/>
          <w:sz w:val="22"/>
          <w:szCs w:val="22"/>
        </w:rPr>
        <w:t xml:space="preserve"> 2B.</w:t>
      </w:r>
      <w:r w:rsidRPr="00F01A00">
        <w:rPr>
          <w:rStyle w:val="apple-converted-space"/>
          <w:rFonts w:ascii="Arial" w:hAnsi="Arial" w:cs="Arial"/>
          <w:color w:val="000000"/>
          <w:sz w:val="22"/>
          <w:szCs w:val="22"/>
        </w:rPr>
        <w:t> </w:t>
      </w:r>
      <w:r w:rsidR="00716391" w:rsidRPr="00F01A00">
        <w:rPr>
          <w:rStyle w:val="apple-converted-space"/>
          <w:rFonts w:ascii="Arial" w:hAnsi="Arial" w:cs="Arial"/>
          <w:color w:val="000000"/>
          <w:sz w:val="22"/>
          <w:szCs w:val="22"/>
        </w:rPr>
        <w:t>A</w:t>
      </w:r>
      <w:r w:rsidR="0030682A" w:rsidRPr="00F01A00">
        <w:rPr>
          <w:rStyle w:val="apple-converted-space"/>
          <w:rFonts w:ascii="Arial" w:hAnsi="Arial" w:cs="Arial"/>
          <w:color w:val="000000"/>
          <w:sz w:val="22"/>
          <w:szCs w:val="22"/>
        </w:rPr>
        <w:t xml:space="preserve">ntibodies </w:t>
      </w:r>
      <w:r w:rsidR="00716391" w:rsidRPr="00F01A00">
        <w:rPr>
          <w:rStyle w:val="apple-converted-space"/>
          <w:rFonts w:ascii="Arial" w:hAnsi="Arial" w:cs="Arial"/>
          <w:color w:val="000000"/>
          <w:sz w:val="22"/>
          <w:szCs w:val="22"/>
        </w:rPr>
        <w:t xml:space="preserve">that bind </w:t>
      </w:r>
      <w:proofErr w:type="spellStart"/>
      <w:r w:rsidR="004F2FF9" w:rsidRPr="00F01A00">
        <w:rPr>
          <w:rStyle w:val="apple-converted-space"/>
          <w:rFonts w:ascii="Arial" w:hAnsi="Arial" w:cs="Arial"/>
          <w:color w:val="000000"/>
          <w:sz w:val="22"/>
          <w:szCs w:val="22"/>
        </w:rPr>
        <w:t>specific</w:t>
      </w:r>
      <w:r w:rsidR="00326D28">
        <w:rPr>
          <w:rStyle w:val="apple-converted-space"/>
          <w:rFonts w:ascii="Arial" w:hAnsi="Arial" w:cs="Arial"/>
          <w:color w:val="000000"/>
          <w:sz w:val="22"/>
          <w:szCs w:val="22"/>
        </w:rPr>
        <w:t>ly</w:t>
      </w:r>
      <w:proofErr w:type="spellEnd"/>
      <w:r w:rsidR="00326D28">
        <w:rPr>
          <w:rStyle w:val="apple-converted-space"/>
          <w:rFonts w:ascii="Arial" w:hAnsi="Arial" w:cs="Arial"/>
          <w:color w:val="000000"/>
          <w:sz w:val="22"/>
          <w:szCs w:val="22"/>
        </w:rPr>
        <w:t xml:space="preserve"> to target of interest </w:t>
      </w:r>
      <w:r w:rsidR="00716391" w:rsidRPr="00F01A00">
        <w:rPr>
          <w:rStyle w:val="apple-converted-space"/>
          <w:rFonts w:ascii="Arial" w:hAnsi="Arial" w:cs="Arial"/>
          <w:color w:val="000000"/>
          <w:sz w:val="22"/>
          <w:szCs w:val="22"/>
        </w:rPr>
        <w:t>(up to 24 antibodies)</w:t>
      </w:r>
      <w:r w:rsidR="0030682A" w:rsidRPr="00F01A00">
        <w:rPr>
          <w:rStyle w:val="apple-converted-space"/>
          <w:rFonts w:ascii="Arial" w:hAnsi="Arial" w:cs="Arial"/>
          <w:color w:val="000000"/>
          <w:sz w:val="22"/>
          <w:szCs w:val="22"/>
        </w:rPr>
        <w:t xml:space="preserve"> will be </w:t>
      </w:r>
      <w:r w:rsidR="00716391" w:rsidRPr="00F01A00">
        <w:rPr>
          <w:rStyle w:val="apple-converted-space"/>
          <w:rFonts w:ascii="Arial" w:hAnsi="Arial" w:cs="Arial"/>
          <w:color w:val="000000"/>
          <w:sz w:val="22"/>
          <w:szCs w:val="22"/>
        </w:rPr>
        <w:t xml:space="preserve">further </w:t>
      </w:r>
      <w:r w:rsidR="0030682A" w:rsidRPr="00F01A00">
        <w:rPr>
          <w:rStyle w:val="apple-converted-space"/>
          <w:rFonts w:ascii="Arial" w:hAnsi="Arial" w:cs="Arial"/>
          <w:color w:val="000000"/>
          <w:sz w:val="22"/>
          <w:szCs w:val="22"/>
        </w:rPr>
        <w:t xml:space="preserve">converted into </w:t>
      </w:r>
      <w:r w:rsidR="00326D28">
        <w:rPr>
          <w:rStyle w:val="apple-converted-space"/>
          <w:rFonts w:ascii="Arial" w:hAnsi="Arial" w:cs="Arial"/>
          <w:color w:val="000000"/>
          <w:sz w:val="22"/>
          <w:szCs w:val="22"/>
        </w:rPr>
        <w:t>IgG for further testing</w:t>
      </w:r>
      <w:r w:rsidR="00716391" w:rsidRPr="00F01A00">
        <w:rPr>
          <w:rFonts w:ascii="Arial" w:hAnsi="Arial" w:cs="Arial"/>
          <w:color w:val="000000"/>
          <w:sz w:val="22"/>
          <w:szCs w:val="22"/>
        </w:rPr>
        <w:t xml:space="preserve">. The top 6 antibody candidates will then be </w:t>
      </w:r>
      <w:r w:rsidR="00043CCE" w:rsidRPr="00F01A00">
        <w:rPr>
          <w:rFonts w:ascii="Arial" w:hAnsi="Arial" w:cs="Arial"/>
          <w:color w:val="000000"/>
          <w:sz w:val="22"/>
          <w:szCs w:val="22"/>
        </w:rPr>
        <w:t xml:space="preserve">tested for </w:t>
      </w:r>
      <w:r w:rsidR="00326D28">
        <w:rPr>
          <w:rFonts w:ascii="Arial" w:hAnsi="Arial" w:cs="Arial"/>
          <w:color w:val="000000"/>
          <w:sz w:val="22"/>
          <w:szCs w:val="22"/>
        </w:rPr>
        <w:t xml:space="preserve">tissue staining in tumor micro </w:t>
      </w:r>
      <w:proofErr w:type="spellStart"/>
      <w:r w:rsidR="00326D28">
        <w:rPr>
          <w:rFonts w:ascii="Arial" w:hAnsi="Arial" w:cs="Arial"/>
          <w:color w:val="000000"/>
          <w:sz w:val="22"/>
          <w:szCs w:val="22"/>
        </w:rPr>
        <w:t>enviroment</w:t>
      </w:r>
      <w:proofErr w:type="spellEnd"/>
      <w:r w:rsidR="004C07B3" w:rsidRPr="00F01A00">
        <w:rPr>
          <w:rFonts w:ascii="Arial" w:hAnsi="Arial" w:cs="Arial"/>
          <w:color w:val="000000"/>
          <w:sz w:val="22"/>
          <w:szCs w:val="22"/>
        </w:rPr>
        <w:t>.</w:t>
      </w:r>
    </w:p>
    <w:p w14:paraId="1331515E" w14:textId="77777777" w:rsidR="00DE5FF7" w:rsidRPr="00F01A00" w:rsidRDefault="00DE5FF7" w:rsidP="00AB2151">
      <w:pPr>
        <w:pStyle w:val="xmsonormal"/>
        <w:spacing w:before="0" w:beforeAutospacing="0" w:after="0" w:afterAutospacing="0"/>
        <w:jc w:val="both"/>
        <w:rPr>
          <w:rFonts w:ascii="Arial" w:hAnsi="Arial" w:cs="Arial"/>
          <w:b/>
          <w:bCs/>
          <w:color w:val="000000"/>
          <w:sz w:val="22"/>
          <w:szCs w:val="22"/>
        </w:rPr>
      </w:pPr>
    </w:p>
    <w:p w14:paraId="1AC77181" w14:textId="3D9851BA" w:rsidR="003356FB" w:rsidRPr="00F01A00" w:rsidRDefault="0005479B" w:rsidP="00AB2151">
      <w:pPr>
        <w:pStyle w:val="xmsonormal"/>
        <w:spacing w:before="0" w:beforeAutospacing="0" w:after="0" w:afterAutospacing="0"/>
        <w:jc w:val="both"/>
        <w:rPr>
          <w:rFonts w:ascii="Arial" w:hAnsi="Arial" w:cs="Arial"/>
          <w:b/>
          <w:bCs/>
          <w:color w:val="000000"/>
          <w:sz w:val="22"/>
          <w:szCs w:val="22"/>
        </w:rPr>
      </w:pPr>
      <w:r w:rsidRPr="00F01A00">
        <w:rPr>
          <w:rFonts w:ascii="Arial" w:hAnsi="Arial" w:cs="Arial"/>
          <w:b/>
          <w:bCs/>
          <w:color w:val="000000"/>
          <w:sz w:val="22"/>
          <w:szCs w:val="22"/>
        </w:rPr>
        <w:t>SIGNIFICANCE</w:t>
      </w:r>
      <w:r w:rsidR="003356FB" w:rsidRPr="00F01A00">
        <w:rPr>
          <w:rFonts w:ascii="Arial" w:hAnsi="Arial" w:cs="Arial"/>
          <w:b/>
          <w:bCs/>
          <w:color w:val="000000"/>
          <w:sz w:val="22"/>
          <w:szCs w:val="22"/>
        </w:rPr>
        <w:t xml:space="preserve"> </w:t>
      </w:r>
    </w:p>
    <w:p w14:paraId="183E04F7" w14:textId="1E5146B5" w:rsidR="003356FB" w:rsidRPr="00F01A00" w:rsidRDefault="003356FB" w:rsidP="00AB2151">
      <w:pPr>
        <w:pStyle w:val="xmsonormal"/>
        <w:spacing w:before="0" w:beforeAutospacing="0" w:after="0" w:afterAutospacing="0"/>
        <w:jc w:val="both"/>
        <w:rPr>
          <w:rFonts w:ascii="Arial" w:hAnsi="Arial" w:cs="Arial"/>
          <w:b/>
          <w:bCs/>
          <w:color w:val="000000"/>
          <w:sz w:val="22"/>
          <w:szCs w:val="22"/>
        </w:rPr>
      </w:pPr>
    </w:p>
    <w:p w14:paraId="61141530" w14:textId="7C056B33" w:rsidR="003B28C0" w:rsidRPr="00F01A00" w:rsidRDefault="003423A1" w:rsidP="00AB2151">
      <w:pPr>
        <w:jc w:val="both"/>
        <w:rPr>
          <w:rFonts w:ascii="Arial" w:hAnsi="Arial" w:cs="Arial"/>
          <w:sz w:val="22"/>
          <w:szCs w:val="22"/>
        </w:rPr>
      </w:pPr>
      <w:r w:rsidRPr="00F01A00">
        <w:rPr>
          <w:rFonts w:ascii="Arial" w:hAnsi="Arial" w:cs="Arial"/>
          <w:noProof/>
          <w:sz w:val="22"/>
          <w:szCs w:val="22"/>
          <w:u w:val="single"/>
        </w:rPr>
        <mc:AlternateContent>
          <mc:Choice Requires="wps">
            <w:drawing>
              <wp:anchor distT="0" distB="0" distL="114300" distR="114300" simplePos="0" relativeHeight="251689984" behindDoc="0" locked="0" layoutInCell="1" allowOverlap="1" wp14:anchorId="5A7DB917" wp14:editId="6EC9C296">
                <wp:simplePos x="0" y="0"/>
                <wp:positionH relativeFrom="margin">
                  <wp:posOffset>3368040</wp:posOffset>
                </wp:positionH>
                <wp:positionV relativeFrom="margin">
                  <wp:posOffset>3131820</wp:posOffset>
                </wp:positionV>
                <wp:extent cx="3429000" cy="1805940"/>
                <wp:effectExtent l="0" t="0" r="12700" b="10160"/>
                <wp:wrapSquare wrapText="bothSides"/>
                <wp:docPr id="4" name="Text Box 4"/>
                <wp:cNvGraphicFramePr/>
                <a:graphic xmlns:a="http://schemas.openxmlformats.org/drawingml/2006/main">
                  <a:graphicData uri="http://schemas.microsoft.com/office/word/2010/wordprocessingShape">
                    <wps:wsp>
                      <wps:cNvSpPr txBox="1"/>
                      <wps:spPr>
                        <a:xfrm>
                          <a:off x="0" y="0"/>
                          <a:ext cx="3429000" cy="180594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FE8B79" w14:textId="77777777" w:rsidR="005C2975" w:rsidRDefault="005C2975" w:rsidP="003B28C0">
                            <w:r>
                              <w:rPr>
                                <w:noProof/>
                              </w:rPr>
                              <w:drawing>
                                <wp:inline distT="0" distB="0" distL="0" distR="0" wp14:anchorId="3979329C" wp14:editId="79975260">
                                  <wp:extent cx="3232998" cy="139954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4556" cy="1400214"/>
                                          </a:xfrm>
                                          <a:prstGeom prst="rect">
                                            <a:avLst/>
                                          </a:prstGeom>
                                          <a:noFill/>
                                          <a:ln>
                                            <a:noFill/>
                                          </a:ln>
                                        </pic:spPr>
                                      </pic:pic>
                                    </a:graphicData>
                                  </a:graphic>
                                </wp:inline>
                              </w:drawing>
                            </w:r>
                          </w:p>
                          <w:p w14:paraId="0C3964D9" w14:textId="777A0693" w:rsidR="005C2975" w:rsidRPr="0044285F" w:rsidRDefault="005C2975" w:rsidP="003B28C0">
                            <w:pPr>
                              <w:rPr>
                                <w:rFonts w:ascii="Arial" w:hAnsi="Arial" w:cs="Arial"/>
                                <w:sz w:val="18"/>
                                <w:szCs w:val="18"/>
                              </w:rPr>
                            </w:pPr>
                            <w:r w:rsidRPr="0044285F">
                              <w:rPr>
                                <w:rFonts w:ascii="Arial" w:hAnsi="Arial" w:cs="Arial"/>
                                <w:b/>
                                <w:sz w:val="18"/>
                                <w:szCs w:val="18"/>
                              </w:rPr>
                              <w:t>Figure 2</w:t>
                            </w:r>
                            <w:r w:rsidRPr="0044285F">
                              <w:rPr>
                                <w:rFonts w:ascii="Arial" w:hAnsi="Arial" w:cs="Arial"/>
                                <w:sz w:val="18"/>
                                <w:szCs w:val="18"/>
                              </w:rPr>
                              <w:t>. Phage display (left) and robotics at UCSF (right) to rapidly make recombinant antibodies.</w:t>
                            </w:r>
                          </w:p>
                          <w:p w14:paraId="10DE92AE" w14:textId="77777777" w:rsidR="005C2975" w:rsidRDefault="005C2975" w:rsidP="003B2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DB917" id="Text Box 4" o:spid="_x0000_s1027" type="#_x0000_t202" style="position:absolute;left:0;text-align:left;margin-left:265.2pt;margin-top:246.6pt;width:270pt;height:142.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" filled="f" strokecolor="black [3213]">
                <v:textbox>
                  <w:txbxContent>
                    <w:p w14:paraId="3CFE8B79" w14:textId="77777777" w:rsidR="005C2975" w:rsidRDefault="005C2975" w:rsidP="003B28C0">
                      <w:r>
                        <w:rPr>
                          <w:noProof/>
                        </w:rPr>
                        <w:drawing>
                          <wp:inline distT="0" distB="0" distL="0" distR="0" wp14:anchorId="3979329C" wp14:editId="79975260">
                            <wp:extent cx="3232998" cy="139954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556" cy="1400214"/>
                                    </a:xfrm>
                                    <a:prstGeom prst="rect">
                                      <a:avLst/>
                                    </a:prstGeom>
                                    <a:noFill/>
                                    <a:ln>
                                      <a:noFill/>
                                    </a:ln>
                                  </pic:spPr>
                                </pic:pic>
                              </a:graphicData>
                            </a:graphic>
                          </wp:inline>
                        </w:drawing>
                      </w:r>
                    </w:p>
                    <w:p w14:paraId="0C3964D9" w14:textId="777A0693" w:rsidR="005C2975" w:rsidRPr="0044285F" w:rsidRDefault="005C2975" w:rsidP="003B28C0">
                      <w:pPr>
                        <w:rPr>
                          <w:rFonts w:ascii="Arial" w:hAnsi="Arial" w:cs="Arial"/>
                          <w:sz w:val="18"/>
                          <w:szCs w:val="18"/>
                        </w:rPr>
                      </w:pPr>
                      <w:r w:rsidRPr="0044285F">
                        <w:rPr>
                          <w:rFonts w:ascii="Arial" w:hAnsi="Arial" w:cs="Arial"/>
                          <w:b/>
                          <w:sz w:val="18"/>
                          <w:szCs w:val="18"/>
                        </w:rPr>
                        <w:t>Figure 2</w:t>
                      </w:r>
                      <w:r w:rsidRPr="0044285F">
                        <w:rPr>
                          <w:rFonts w:ascii="Arial" w:hAnsi="Arial" w:cs="Arial"/>
                          <w:sz w:val="18"/>
                          <w:szCs w:val="18"/>
                        </w:rPr>
                        <w:t>. Phage display (left) and robotics at UCSF (right) to rapidly make recombinant antibodies.</w:t>
                      </w:r>
                    </w:p>
                    <w:p w14:paraId="10DE92AE" w14:textId="77777777" w:rsidR="005C2975" w:rsidRDefault="005C2975" w:rsidP="003B28C0"/>
                  </w:txbxContent>
                </v:textbox>
                <w10:wrap type="square" anchorx="margin" anchory="margin"/>
              </v:shape>
            </w:pict>
          </mc:Fallback>
        </mc:AlternateContent>
      </w:r>
      <w:r w:rsidR="003B28C0" w:rsidRPr="00F01A00">
        <w:rPr>
          <w:rFonts w:ascii="Arial" w:hAnsi="Arial" w:cs="Arial"/>
          <w:sz w:val="22"/>
          <w:szCs w:val="22"/>
        </w:rPr>
        <w:t xml:space="preserve">We </w:t>
      </w:r>
      <w:r w:rsidR="00682AC3" w:rsidRPr="00F01A00">
        <w:rPr>
          <w:rFonts w:ascii="Arial" w:hAnsi="Arial" w:cs="Arial"/>
          <w:sz w:val="22"/>
          <w:szCs w:val="22"/>
        </w:rPr>
        <w:t xml:space="preserve">will </w:t>
      </w:r>
      <w:r w:rsidR="000F5115" w:rsidRPr="00F01A00">
        <w:rPr>
          <w:rFonts w:ascii="Arial" w:hAnsi="Arial" w:cs="Arial"/>
          <w:sz w:val="22"/>
          <w:szCs w:val="22"/>
        </w:rPr>
        <w:t>focus on the use of</w:t>
      </w:r>
      <w:r w:rsidR="003B28C0" w:rsidRPr="00F01A00">
        <w:rPr>
          <w:rFonts w:ascii="Arial" w:hAnsi="Arial" w:cs="Arial"/>
          <w:sz w:val="22"/>
          <w:szCs w:val="22"/>
        </w:rPr>
        <w:t xml:space="preserve"> </w:t>
      </w:r>
      <w:r w:rsidR="003B28C0" w:rsidRPr="00F01A00">
        <w:rPr>
          <w:rFonts w:ascii="Arial" w:hAnsi="Arial" w:cs="Arial"/>
          <w:i/>
          <w:sz w:val="22"/>
          <w:szCs w:val="22"/>
        </w:rPr>
        <w:t>in vitro</w:t>
      </w:r>
      <w:r w:rsidR="003B28C0" w:rsidRPr="00F01A00">
        <w:rPr>
          <w:rFonts w:ascii="Arial" w:hAnsi="Arial" w:cs="Arial"/>
          <w:sz w:val="22"/>
          <w:szCs w:val="22"/>
        </w:rPr>
        <w:t xml:space="preserve"> selected recombinant antibodies as opposed to animal-derived monoclonal or polyclonal antibodies for several reasons. First, recombinant antibodies are sequenced cloned genes and thus renewable</w:t>
      </w:r>
      <w:r w:rsidR="00964906" w:rsidRPr="00F01A00">
        <w:rPr>
          <w:rFonts w:ascii="Arial" w:hAnsi="Arial" w:cs="Arial"/>
          <w:sz w:val="22"/>
          <w:szCs w:val="22"/>
        </w:rPr>
        <w:t xml:space="preserve"> </w:t>
      </w:r>
      <w:r w:rsidR="00E463B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{"citationID":"2uljtG39","properties":{"formattedCitation":"[5], [6]","plainCitation":"[5], [6]","noteIndex":0},"citationItems":[{"id":"peimv2KQ/QmRk4aSz","uris":["http://www.mendeley.com/documents/?uuid=e3800c62-0d16-492d-8c9d-31278d07c365"],"itemData":{"DOI":"10.1038/nmeth.2570","ISSN":"1548-7091","author":[{"dropping-particle":"","family":"Marx","given":"Vivien","non-dropping-particle":"","parse-names":false,"suffix":""}],"container-title":"Nature Methods","id":"ITEM-1","issue":"8","issued":{"date-parts":[["2013","8","30"]]},"page":"703-707","title":"Finding the right antibody for the job","type":"article-journal","volume":"10"}},{"id":"peimv2KQ/r0n3tZfH","uris":["http://www.mendeley.com/documents/?uuid=896f7959-5e23-4b69-8027-af17e18f13fd"],"itemData":{"DOI":"10.1038/nmeth.1607","ISSN":"1548-7105","PMID":"21572409","abstract":"Despite the wealth of commercially available antibodies to human proteins, research is often hindered by their inconsistent validation, their poor performance and the inadequate coverage of the proteome. These issues could be addressed by systematic, genome-wide efforts to generate and validate renewable protein binders. We report a multicenter study to assess the potential of hybridoma and phage-display technologies in a coordinated large-scale antibody generation and validation effort. We produced over 1,000 antibodies targeting 20 SH2 domain proteins and evaluated them for potency and specificity by enzyme-linked immunosorbent assay (ELISA), protein microarray and surface plasmon resonance (SPR). We also tested selected antibodies in immunoprecipitation, immunoblotting and immunofluorescence assays. Our results show that high-affinity, high-specificity renewable antibodies generated by different technologies can be produced quickly and efficiently. We believe that this work serves as a foundation and template for future larger-scale studies to create renewable protein binders.","author":[{"dropping-particle":"","family":"Colwill","given":"Karen","non-dropping-particle":"","parse-names":false,"suffix":""},{"dropping-particle":"","family":"Renewable Protein Binder Working Group","given":"","non-dropping-particle":"","parse-names":false,"suffix":""},{"dropping-particle":"","family":"Gräslund","given":"Susanne","non-dropping-particle":"","parse-names":false,"suffix":""}],"container-title":"Nature methods","id":"ITEM-2","issue":"7","issued":{"date-parts":[["2011","5","15"]]},"page":"551-8","title":"A roadmap to generate renewable protein binders to the human proteome.","type":"article-journal","volume":"8"}}],"schema":"https://github.com/citation-style-language/schema/raw/master/csl-citation.json"} </w:instrText>
      </w:r>
      <w:r w:rsidR="00E463BA" w:rsidRPr="00F01A00">
        <w:rPr>
          <w:rFonts w:ascii="Arial" w:hAnsi="Arial" w:cs="Arial"/>
          <w:sz w:val="22"/>
          <w:szCs w:val="22"/>
        </w:rPr>
        <w:fldChar w:fldCharType="separate"/>
      </w:r>
      <w:r w:rsidR="00AB3BB1" w:rsidRPr="00F01A00">
        <w:rPr>
          <w:rFonts w:ascii="Arial" w:hAnsi="Arial" w:cs="Arial"/>
          <w:noProof/>
          <w:sz w:val="22"/>
          <w:szCs w:val="22"/>
        </w:rPr>
        <w:t>[5], [6]</w:t>
      </w:r>
      <w:r w:rsidR="00E463BA" w:rsidRPr="00F01A00">
        <w:rPr>
          <w:rFonts w:ascii="Arial" w:hAnsi="Arial" w:cs="Arial"/>
          <w:sz w:val="22"/>
          <w:szCs w:val="22"/>
        </w:rPr>
        <w:fldChar w:fldCharType="end"/>
      </w:r>
      <w:r w:rsidR="003B28C0" w:rsidRPr="00F01A00">
        <w:rPr>
          <w:rFonts w:ascii="Arial" w:hAnsi="Arial" w:cs="Arial"/>
          <w:sz w:val="22"/>
          <w:szCs w:val="22"/>
        </w:rPr>
        <w:t>. The antibody genes can be further engineered for affinity or specificity if needed, and easily converted to different formats for both imaging and therapeutic purposes (</w:t>
      </w:r>
      <w:proofErr w:type="gramStart"/>
      <w:r w:rsidR="003B28C0" w:rsidRPr="00F01A00">
        <w:rPr>
          <w:rFonts w:ascii="Arial" w:hAnsi="Arial" w:cs="Arial"/>
          <w:sz w:val="22"/>
          <w:szCs w:val="22"/>
        </w:rPr>
        <w:t>e.g.</w:t>
      </w:r>
      <w:proofErr w:type="gramEnd"/>
      <w:r w:rsidR="003B28C0" w:rsidRPr="00F01A00">
        <w:rPr>
          <w:rFonts w:ascii="Arial" w:hAnsi="Arial" w:cs="Arial"/>
          <w:sz w:val="22"/>
          <w:szCs w:val="22"/>
        </w:rPr>
        <w:t xml:space="preserve"> Fab, </w:t>
      </w:r>
      <w:r w:rsidR="005E2690">
        <w:rPr>
          <w:rFonts w:ascii="Arial" w:hAnsi="Arial" w:cs="Arial"/>
          <w:sz w:val="22"/>
          <w:szCs w:val="22"/>
        </w:rPr>
        <w:t>IgG</w:t>
      </w:r>
      <w:r w:rsidR="003B28C0" w:rsidRPr="00F01A00">
        <w:rPr>
          <w:rFonts w:ascii="Arial" w:hAnsi="Arial" w:cs="Arial"/>
          <w:sz w:val="22"/>
          <w:szCs w:val="22"/>
        </w:rPr>
        <w:t xml:space="preserve">, antibody-drug conjugates, and gene fusions such as BITEs or Car-T-cells). </w:t>
      </w:r>
      <w:r w:rsidR="000F5115" w:rsidRPr="00F01A00">
        <w:rPr>
          <w:rFonts w:ascii="Arial" w:hAnsi="Arial" w:cs="Arial"/>
          <w:sz w:val="22"/>
          <w:szCs w:val="22"/>
        </w:rPr>
        <w:t xml:space="preserve">In addition, </w:t>
      </w:r>
      <w:r w:rsidR="003B28C0" w:rsidRPr="00F01A00">
        <w:rPr>
          <w:rFonts w:ascii="Arial" w:hAnsi="Arial" w:cs="Arial"/>
          <w:i/>
          <w:sz w:val="22"/>
          <w:szCs w:val="22"/>
        </w:rPr>
        <w:t>in vitro</w:t>
      </w:r>
      <w:r w:rsidR="003B28C0" w:rsidRPr="00F01A00">
        <w:rPr>
          <w:rFonts w:ascii="Arial" w:hAnsi="Arial" w:cs="Arial"/>
          <w:sz w:val="22"/>
          <w:szCs w:val="22"/>
        </w:rPr>
        <w:t xml:space="preserve"> selected antibodies </w:t>
      </w:r>
      <w:r w:rsidR="000F5115" w:rsidRPr="00F01A00">
        <w:rPr>
          <w:rFonts w:ascii="Arial" w:hAnsi="Arial" w:cs="Arial"/>
          <w:sz w:val="22"/>
          <w:szCs w:val="22"/>
        </w:rPr>
        <w:t xml:space="preserve">are not biased </w:t>
      </w:r>
      <w:r w:rsidR="004B0874" w:rsidRPr="00F01A00">
        <w:rPr>
          <w:rFonts w:ascii="Arial" w:hAnsi="Arial" w:cs="Arial"/>
          <w:sz w:val="22"/>
          <w:szCs w:val="22"/>
        </w:rPr>
        <w:t>against</w:t>
      </w:r>
      <w:r w:rsidR="003B28C0" w:rsidRPr="00F01A00">
        <w:rPr>
          <w:rFonts w:ascii="Arial" w:hAnsi="Arial" w:cs="Arial"/>
          <w:sz w:val="22"/>
          <w:szCs w:val="22"/>
        </w:rPr>
        <w:t xml:space="preserve"> epitopes </w:t>
      </w:r>
      <w:r w:rsidR="000F5115" w:rsidRPr="00F01A00">
        <w:rPr>
          <w:rFonts w:ascii="Arial" w:hAnsi="Arial" w:cs="Arial"/>
          <w:sz w:val="22"/>
          <w:szCs w:val="22"/>
        </w:rPr>
        <w:t xml:space="preserve">conserved </w:t>
      </w:r>
      <w:r w:rsidR="003B28C0" w:rsidRPr="00F01A00">
        <w:rPr>
          <w:rFonts w:ascii="Arial" w:hAnsi="Arial" w:cs="Arial"/>
          <w:sz w:val="22"/>
          <w:szCs w:val="22"/>
        </w:rPr>
        <w:t>in animals</w:t>
      </w:r>
      <w:r w:rsidR="000F5115" w:rsidRPr="00F01A00">
        <w:rPr>
          <w:rFonts w:ascii="Arial" w:hAnsi="Arial" w:cs="Arial"/>
          <w:sz w:val="22"/>
          <w:szCs w:val="22"/>
        </w:rPr>
        <w:t xml:space="preserve">, making it </w:t>
      </w:r>
      <w:r w:rsidR="003B28C0" w:rsidRPr="00F01A00">
        <w:rPr>
          <w:rFonts w:ascii="Arial" w:hAnsi="Arial" w:cs="Arial"/>
          <w:sz w:val="22"/>
          <w:szCs w:val="22"/>
        </w:rPr>
        <w:t xml:space="preserve">more likely </w:t>
      </w:r>
      <w:r w:rsidR="000F5115" w:rsidRPr="00F01A00">
        <w:rPr>
          <w:rFonts w:ascii="Arial" w:hAnsi="Arial" w:cs="Arial"/>
          <w:sz w:val="22"/>
          <w:szCs w:val="22"/>
        </w:rPr>
        <w:t xml:space="preserve">that they will achieve </w:t>
      </w:r>
      <w:r w:rsidR="003B28C0" w:rsidRPr="00F01A00">
        <w:rPr>
          <w:rFonts w:ascii="Arial" w:hAnsi="Arial" w:cs="Arial"/>
          <w:sz w:val="22"/>
          <w:szCs w:val="22"/>
        </w:rPr>
        <w:t>broader coverage. Moreover, phage display allows recombinant antibodies to be generated much faster, in a multiplexed fashion using robotics, with less antigen, and at lower costs than traditional monoclonal antibodies</w:t>
      </w:r>
      <w:r w:rsidR="00964906" w:rsidRPr="00F01A00">
        <w:rPr>
          <w:rFonts w:ascii="Arial" w:hAnsi="Arial" w:cs="Arial"/>
          <w:sz w:val="22"/>
          <w:szCs w:val="22"/>
        </w:rPr>
        <w:t xml:space="preserve"> </w:t>
      </w:r>
      <w:r w:rsidR="00E463B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Eh6ugmIP","properties":{"formattedCitation":"[7]","plainCitation":"[7]","noteIndex":0},"citationItems":[{"id":"peimv2KQ/sOYJXEKm","uris":["http://www.mendeley.com/documents/?uuid=cb19befc-e74b-4c56-8268-44bbf76da70f"],"itemData":{"DOI":"10.1074/mcp.O115.052209","ISBN":"1535-9476","ISSN":"1535-9476","PMID":"26290498","author":[{"dropping-particle":"","family":"Hornsby","given":"Michael","non-dropping-particle":"","parse-names":false,"suffix":""},{"dropping-particle":"","family":"Paduch","given":"Marcin","non-dropping-particle":"","parse-names":false,"suffix":""},{"dropping-particle":"","family":"Miersch","given":"Shane","non-dropping-particle":"","parse-names":false,"suffix":""},{"dropping-particle":"","family":"Sääf","given":"Annika","non-dropping-particle":"","parse-names":false,"suffix":""},{"dropping-particle":"","family":"Matsuguchi","given":"Tet","non-dropping-particle":"","parse-names":false,"suffix":""},{"dropping-particle":"","family":"Lee","given":"Brian","non-dropping-particle":"","parse-names":false,"suffix":""},{"dropping-particle":"","family":"Wypisniak","given":"Karolina","non-dropping-particle":"","parse-names":false,"suffix":""},{"dropping-particle":"","family":"Doak","given":"Allison","non-dropping-particle":"","parse-names":false,"suffix":""},{"dropping-particle":"","family":"King","given":"Daniel","non-dropping-particle":"","parse-names":false,"suffix":""},{"dropping-particle":"","family":"Usatyuk","given":"Svitlana","non-dropping-particle":"","parse-names":false,"suffix":""},{"dropping-particle":"","family":"Perry","given":"Kimberly","non-dropping-particle":"","parse-names":false,"suffix":""},{"dropping-particle":"","family":"Lu","given":"Vince","non-dropping-particle":"","parse-names":false,"suffix":""},{"dropping-particle":"","family":"Thomas","given":"William","non-dropping-particle":"","parse-names":false,"suffix":""},{"dropping-particle":"","family":"Luke","given":"Judy","non-dropping-particle":"","parse-names":false,"suffix":""},{"dropping-particle":"","family":"Goodman","given":"Jay","non-dropping-particle":"","parse-names":false,"suffix":""},{"dropping-particle":"","family":"Hoey","given":"Robert J.","non-dropping-particle":"","parse-names":false,"suffix":""},{"dropping-particle":"","family":"Lai","given":"Darson","non-dropping-particle":"","parse-names":false,"suffix":""},{"dropping-particle":"","family":"Griffin","given":"Carly","non-dropping-particle":"","parse-names":false,"suffix":""},{"dropping-particle":"","family":"Li","given":"Zhijian","non-dropping-particle":"","parse-names":false,"suffix":""},{"dropping-particle":"","family":"Vizeacoumar","given":"Franco J.","non-dropping-particle":"","parse-names":false,"suffix":""},{"dropping-particle":"","family":"Dong","given":"Debbie","non-dropping-particle":"","parse-names":false,"suffix":""},{"dropping-particle":"","family":"Campbell","given":"Elliot","non-dropping-particle":"","parse-names":false,"suffix":""},{"dropping-particle":"","family":"Anderson","given":"Stephen","non-dropping-particle":"","parse-names":false,"suffix":""},{"dropping-particle":"","family":"Zhong","given":"Nan","non-dropping-particle":"","parse-names":false,"suffix":""},{"dropping-particle":"","family":"Gräslund","given":"Susanne","non-dropping-particle":"","parse-names":false,"suffix":""},{"dropping-particle":"","family":"Koide","given":"Shohei","non-dropping-particle":"","parse-names":false,"suffix":""},{"dropping-particle":"","family":"Moffat","given":"Jason","non-dropping-particle":"","parse-names":false,"suffix":""},{"dropping-particle":"","family":"Sidhu","given":"Sachdev","non-dropping-particle":"","parse-names":false,"suffix":""},{"dropping-particle":"","family":"Kossiakoff","given":"Anthony","non-dropping-particle":"","parse-names":false,"suffix":""},{"dropping-particle":"","family":"Wells","given":"James","non-dropping-particle":"","parse-names":false,"suffix":""}],"container-title":"Molecular &amp; Cellular Proteomics","id":"ITEM-1","issue":"10","issued":{"date-parts":[["2015"]]},"page":"2833-2847","title":"A High Through-put Platform for Recombinant Antibodies to Folded Proteins","type":"article-journal","volume":"14"}}],"schema":"https://github.com/citation-style-language/schema/raw/master/csl-citation.json"} </w:instrText>
      </w:r>
      <w:r w:rsidR="00E463BA" w:rsidRPr="00F01A00">
        <w:rPr>
          <w:rFonts w:ascii="Arial" w:hAnsi="Arial" w:cs="Arial"/>
          <w:sz w:val="22"/>
          <w:szCs w:val="22"/>
        </w:rPr>
        <w:fldChar w:fldCharType="separate"/>
      </w:r>
      <w:r w:rsidR="00AB3BB1" w:rsidRPr="00F01A00">
        <w:rPr>
          <w:rFonts w:ascii="Arial" w:hAnsi="Arial" w:cs="Arial"/>
          <w:noProof/>
          <w:sz w:val="22"/>
          <w:szCs w:val="22"/>
        </w:rPr>
        <w:t>[7]</w:t>
      </w:r>
      <w:r w:rsidR="00E463BA" w:rsidRPr="00F01A00">
        <w:rPr>
          <w:rFonts w:ascii="Arial" w:hAnsi="Arial" w:cs="Arial"/>
          <w:sz w:val="22"/>
          <w:szCs w:val="22"/>
        </w:rPr>
        <w:fldChar w:fldCharType="end"/>
      </w:r>
      <w:r w:rsidR="003B28C0" w:rsidRPr="00F01A00">
        <w:rPr>
          <w:rFonts w:ascii="Arial" w:hAnsi="Arial" w:cs="Arial"/>
          <w:sz w:val="22"/>
          <w:szCs w:val="22"/>
        </w:rPr>
        <w:t xml:space="preserve">. To facilitate generation of </w:t>
      </w:r>
      <w:r w:rsidR="000F5115" w:rsidRPr="00F01A00">
        <w:rPr>
          <w:rFonts w:ascii="Arial" w:hAnsi="Arial" w:cs="Arial"/>
          <w:sz w:val="22"/>
          <w:szCs w:val="22"/>
        </w:rPr>
        <w:t xml:space="preserve">both </w:t>
      </w:r>
      <w:r w:rsidR="003B28C0" w:rsidRPr="00F01A00">
        <w:rPr>
          <w:rFonts w:ascii="Arial" w:hAnsi="Arial" w:cs="Arial"/>
          <w:sz w:val="22"/>
          <w:szCs w:val="22"/>
        </w:rPr>
        <w:t>antigen and antibodies, we developed a high throughput robotic platform for recombinant antibody generation by phage display, and demonstrated its power by generating high affinity antibodies for &gt;500 chromatin remodeling proteins in cooperation with the recombinant antibody network (RAN)</w:t>
      </w:r>
      <w:r w:rsidR="00964906" w:rsidRPr="00F01A00">
        <w:rPr>
          <w:rFonts w:ascii="Arial" w:hAnsi="Arial" w:cs="Arial"/>
          <w:sz w:val="22"/>
          <w:szCs w:val="22"/>
        </w:rPr>
        <w:t xml:space="preserve"> </w:t>
      </w:r>
      <w:r w:rsidR="00F703C8"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pGWm4lIe","properties":{"formattedCitation":"[7]","plainCitation":"[7]","noteIndex":0},"citationItems":[{"id":"peimv2KQ/sOYJXEKm","uris":["http://www.mendeley.com/documents/?uuid=cb19befc-e74b-4c56-8268-44bbf76da70f"],"itemData":{"DOI":"10.1074/mcp.O115.052209","ISBN":"1535-9476","ISSN":"1535-9476","PMID":"26290498","author":[{"dropping-particle":"","family":"Hornsby","given":"Michael","non-dropping-particle":"","parse-names":false,"suffix":""},{"dropping-particle":"","family":"Paduch","given":"Marcin","non-dropping-particle":"","parse-names":false,"suffix":""},{"dropping-particle":"","family":"Miersch","given":"Shane","non-dropping-particle":"","parse-names":false,"suffix":""},{"dropping-particle":"","family":"Sääf","given":"Annika","non-dropping-particle":"","parse-names":false,"suffix":""},{"dropping-particle":"","family":"Matsuguchi","given":"Tet","non-dropping-particle":"","parse-names":false,"suffix":""},{"dropping-particle":"","family":"Lee","given":"Brian","non-dropping-particle":"","parse-names":false,"suffix":""},{"dropping-particle":"","family":"Wypisniak","given":"Karolina","non-dropping-particle":"","parse-names":false,"suffix":""},{"dropping-particle":"","family":"Doak","given":"Allison","non-dropping-particle":"","parse-names":false,"suffix":""},{"dropping-particle":"","family":"King","given":"Daniel","non-dropping-particle":"","parse-names":false,"suffix":""},{"dropping-particle":"","family":"Usatyuk","given":"Svitlana","non-dropping-particle":"","parse-names":false,"suffix":""},{"dropping-particle":"","family":"Perry","given":"Kimberly","non-dropping-particle":"","parse-names":false,"suffix":""},{"dropping-particle":"","family":"Lu","given":"Vince","non-dropping-particle":"","parse-names":false,"suffix":""},{"dropping-particle":"","family":"Thomas","given":"William","non-dropping-particle":"","parse-names":false,"suffix":""},{"dropping-particle":"","family":"Luke","given":"Judy","non-dropping-particle":"","parse-names":false,"suffix":""},{"dropping-particle":"","family":"Goodman","given":"Jay","non-dropping-particle":"","parse-names":false,"suffix":""},{"dropping-particle":"","family":"Hoey","given":"Robert J.","non-dropping-particle":"","parse-names":false,"suffix":""},{"dropping-particle":"","family":"Lai","given":"Darson","non-dropping-particle":"","parse-names":false,"suffix":""},{"dropping-particle":"","family":"Griffin","given":"Carly","non-dropping-particle":"","parse-names":false,"suffix":""},{"dropping-particle":"","family":"Li","given":"Zhijian","non-dropping-particle":"","parse-names":false,"suffix":""},{"dropping-particle":"","family":"Vizeacoumar","given":"Franco J.","non-dropping-particle":"","parse-names":false,"suffix":""},{"dropping-particle":"","family":"Dong","given":"Debbie","non-dropping-particle":"","parse-names":false,"suffix":""},{"dropping-particle":"","family":"Campbell","given":"Elliot","non-dropping-particle":"","parse-names":false,"suffix":""},{"dropping-particle":"","family":"Anderson","given":"Stephen","non-dropping-particle":"","parse-names":false,"suffix":""},{"dropping-particle":"","family":"Zhong","given":"Nan","non-dropping-particle":"","parse-names":false,"suffix":""},{"dropping-particle":"","family":"Gräslund","given":"Susanne","non-dropping-particle":"","parse-names":false,"suffix":""},{"dropping-particle":"","family":"Koide","given":"Shohei","non-dropping-particle":"","parse-names":false,"suffix":""},{"dropping-particle":"","family":"Moffat","given":"Jason","non-dropping-particle":"","parse-names":false,"suffix":""},{"dropping-particle":"","family":"Sidhu","given":"Sachdev","non-dropping-particle":"","parse-names":false,"suffix":""},{"dropping-particle":"","family":"Kossiakoff","given":"Anthony","non-dropping-particle":"","parse-names":false,"suffix":""},{"dropping-particle":"","family":"Wells","given":"James","non-dropping-particle":"","parse-names":false,"suffix":""}],"container-title":"Molecular &amp; Cellular Proteomics","id":"ITEM-1","issue":"10","issued":{"date-parts":[["2015"]]},"page":"2833-2847","title":"A High Through-put Platform for Recombinant Antibodies to Folded Proteins","type":"article-journal","volume":"14"}}],"schema":"https://github.com/citation-style-language/schema/raw/master/csl-citation.json"} </w:instrText>
      </w:r>
      <w:r w:rsidR="00F703C8" w:rsidRPr="00F01A00">
        <w:rPr>
          <w:rFonts w:ascii="Arial" w:hAnsi="Arial" w:cs="Arial"/>
          <w:sz w:val="22"/>
          <w:szCs w:val="22"/>
        </w:rPr>
        <w:fldChar w:fldCharType="separate"/>
      </w:r>
      <w:r w:rsidR="00AB3BB1" w:rsidRPr="00F01A00">
        <w:rPr>
          <w:rFonts w:ascii="Arial" w:hAnsi="Arial" w:cs="Arial"/>
          <w:noProof/>
          <w:sz w:val="22"/>
          <w:szCs w:val="22"/>
        </w:rPr>
        <w:t>[7]</w:t>
      </w:r>
      <w:r w:rsidR="00F703C8" w:rsidRPr="00F01A00">
        <w:rPr>
          <w:rFonts w:ascii="Arial" w:hAnsi="Arial" w:cs="Arial"/>
          <w:sz w:val="22"/>
          <w:szCs w:val="22"/>
        </w:rPr>
        <w:fldChar w:fldCharType="end"/>
      </w:r>
      <w:r w:rsidR="003B28C0" w:rsidRPr="00F01A00">
        <w:rPr>
          <w:rFonts w:ascii="Arial" w:hAnsi="Arial" w:cs="Arial"/>
          <w:sz w:val="22"/>
          <w:szCs w:val="22"/>
        </w:rPr>
        <w:t xml:space="preserve"> (</w:t>
      </w:r>
      <w:r w:rsidR="003B28C0" w:rsidRPr="00F01A00">
        <w:rPr>
          <w:rFonts w:ascii="Arial" w:hAnsi="Arial" w:cs="Arial"/>
          <w:b/>
          <w:sz w:val="22"/>
          <w:szCs w:val="22"/>
        </w:rPr>
        <w:t>Fig</w:t>
      </w:r>
      <w:r w:rsidRPr="00F01A00">
        <w:rPr>
          <w:rFonts w:ascii="Arial" w:hAnsi="Arial" w:cs="Arial"/>
          <w:b/>
          <w:sz w:val="22"/>
          <w:szCs w:val="22"/>
        </w:rPr>
        <w:t>ure</w:t>
      </w:r>
      <w:r w:rsidR="003B28C0" w:rsidRPr="00F01A00">
        <w:rPr>
          <w:rFonts w:ascii="Arial" w:hAnsi="Arial" w:cs="Arial"/>
          <w:b/>
          <w:sz w:val="22"/>
          <w:szCs w:val="22"/>
        </w:rPr>
        <w:t xml:space="preserve"> </w:t>
      </w:r>
      <w:r w:rsidRPr="00F01A00">
        <w:rPr>
          <w:rFonts w:ascii="Arial" w:hAnsi="Arial" w:cs="Arial"/>
          <w:b/>
          <w:sz w:val="22"/>
          <w:szCs w:val="22"/>
        </w:rPr>
        <w:t>2</w:t>
      </w:r>
      <w:r w:rsidR="003B28C0" w:rsidRPr="00F01A00">
        <w:rPr>
          <w:rFonts w:ascii="Arial" w:hAnsi="Arial" w:cs="Arial"/>
          <w:sz w:val="22"/>
          <w:szCs w:val="22"/>
        </w:rPr>
        <w:t xml:space="preserve">). </w:t>
      </w:r>
      <w:r w:rsidR="005E2690">
        <w:rPr>
          <w:rFonts w:ascii="Arial" w:hAnsi="Arial" w:cs="Arial"/>
          <w:sz w:val="22"/>
          <w:szCs w:val="22"/>
        </w:rPr>
        <w:t>W</w:t>
      </w:r>
      <w:r w:rsidR="003B28C0" w:rsidRPr="00F01A00">
        <w:rPr>
          <w:rFonts w:ascii="Arial" w:hAnsi="Arial" w:cs="Arial"/>
          <w:sz w:val="22"/>
          <w:szCs w:val="22"/>
        </w:rPr>
        <w:t>e have applied this platform to produce high affinity antibodies to about two dozen different surface proteins that are induced by oncogenic KRAS</w:t>
      </w:r>
      <w:r w:rsidR="00E463BA" w:rsidRPr="00F01A00">
        <w:rPr>
          <w:rFonts w:ascii="Arial" w:hAnsi="Arial" w:cs="Arial"/>
          <w:sz w:val="22"/>
          <w:szCs w:val="22"/>
        </w:rPr>
        <w:t xml:space="preserve"> </w:t>
      </w:r>
      <w:r w:rsidR="00E463B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rqaoDqYT","properties":{"formattedCitation":"[8]","plainCitation":"[8]","noteIndex":0},"citationItems":[{"id":"peimv2KQ/VihWpazF","uris":["http://www.mendeley.com/documents/?uuid=0a03aa3a-d388-46bb-ac9d-77a8cdfeb18d"],"itemData":{"DOI":"10.7554/eLife.31098","ISSN":"2050-084X","PMID":"29359686","abstract":"&lt;p&gt;While there have been tremendous efforts to target oncogenic RAS signaling from inside the cell, little effort has focused on the cell-surface. Here, we used quantitative surface proteomics to reveal a signature of proteins that are upregulated on cells transformed with KRASG12V, and driven by MAPK pathway signaling. We next generated a toolkit of recombinant antibodies to seven of these RAS induced proteins. We found that five of these proteins are broadly distributed on cancer cell lines harboring RAS mutations. In parallel, a cell-surface CRISPRi screen identified integrin and Wnt signaling proteins as critical to RAS transformed cells. We show that antibodies targeting CDCP1, a protein common to our proteomics and CRISPRi datasets, can be leveraged to deliver cytotoxic and immunotherapeutic payloads to RAS transformed cancer cells and report for RAS signaling status in vivo. Taken together, this work presents a technological platform for attacking RAS from outside the cell.&lt;/p&gt;","author":[{"dropping-particle":"","family":"Martinko","given":"Alexander John","non-dropping-particle":"","parse-names":false,"suffix":""},{"dropping-particle":"","family":"Truillet","given":"Charles","non-dropping-particle":"","parse-names":false,"suffix":""},{"dropping-particle":"","family":"Julien","given":"Olivier","non-dropping-particle":"","parse-names":false,"suffix":""},{"dropping-particle":"","family":"Diaz","given":"Juan","non-dropping-particle":"","parse-names":false,"suffix":""},{"dropping-particle":"","family":"Horlbeck","given":"Max A","non-dropping-particle":"","parse-names":false,"suffix":""},{"dropping-particle":"","family":"Whiteley","given":"Gordon","non-dropping-particle":"","parse-names":false,"suffix":""},{"dropping-particle":"","family":"Blonder","given":"Josip","non-dropping-particle":"","parse-names":false,"suffix":""},{"dropping-particle":"","family":"Weissman","given":"Jonathan S","non-dropping-particle":"","parse-names":false,"suffix":""},{"dropping-particle":"","family":"Bandyopadhyay","given":"Sourav","non-dropping-particle":"","parse-names":false,"suffix":""},{"dropping-particle":"","family":"Evans","given":"Michael","non-dropping-particle":"","parse-names":false,"suffix":""},{"dropping-particle":"","family":"Wells","given":"James A","non-dropping-particle":"","parse-names":false,"suffix":""}],"container-title":"eLife","id":"ITEM-1","issued":{"date-parts":[["2018"]]},"page":"e31098","title":"Targeting RAS driven human cancer cells with antibodies to upregulated and essential cell-surface proteins","type":"article-journal","volume":"7"}}],"schema":"https://github.com/citation-style-language/schema/raw/master/csl-citation.json"} </w:instrText>
      </w:r>
      <w:r w:rsidR="00E463BA" w:rsidRPr="00F01A00">
        <w:rPr>
          <w:rFonts w:ascii="Arial" w:hAnsi="Arial" w:cs="Arial"/>
          <w:sz w:val="22"/>
          <w:szCs w:val="22"/>
        </w:rPr>
        <w:fldChar w:fldCharType="separate"/>
      </w:r>
      <w:r w:rsidR="00AB3BB1" w:rsidRPr="00F01A00">
        <w:rPr>
          <w:rFonts w:ascii="Arial" w:hAnsi="Arial" w:cs="Arial"/>
          <w:noProof/>
          <w:sz w:val="22"/>
          <w:szCs w:val="22"/>
        </w:rPr>
        <w:t>[8]</w:t>
      </w:r>
      <w:r w:rsidR="00E463BA" w:rsidRPr="00F01A00">
        <w:rPr>
          <w:rFonts w:ascii="Arial" w:hAnsi="Arial" w:cs="Arial"/>
          <w:sz w:val="22"/>
          <w:szCs w:val="22"/>
        </w:rPr>
        <w:fldChar w:fldCharType="end"/>
      </w:r>
      <w:r w:rsidR="003B28C0" w:rsidRPr="00F01A00">
        <w:rPr>
          <w:rFonts w:ascii="Arial" w:hAnsi="Arial" w:cs="Arial"/>
          <w:sz w:val="22"/>
          <w:szCs w:val="22"/>
        </w:rPr>
        <w:t>.</w:t>
      </w:r>
      <w:r w:rsidR="005E2690">
        <w:rPr>
          <w:rFonts w:ascii="Arial" w:hAnsi="Arial" w:cs="Arial"/>
          <w:sz w:val="22"/>
          <w:szCs w:val="22"/>
        </w:rPr>
        <w:t xml:space="preserve"> </w:t>
      </w:r>
      <w:r w:rsidR="003B28C0" w:rsidRPr="00F01A00">
        <w:rPr>
          <w:rFonts w:ascii="Arial" w:hAnsi="Arial" w:cs="Arial"/>
          <w:sz w:val="22"/>
          <w:szCs w:val="22"/>
        </w:rPr>
        <w:t xml:space="preserve">Targeting antibodies </w:t>
      </w:r>
      <w:r w:rsidR="005E2690">
        <w:rPr>
          <w:rFonts w:ascii="Arial" w:hAnsi="Arial" w:cs="Arial"/>
          <w:sz w:val="22"/>
          <w:szCs w:val="22"/>
        </w:rPr>
        <w:t xml:space="preserve">will be enabling reagents as </w:t>
      </w:r>
      <w:r w:rsidR="003B28C0" w:rsidRPr="00F01A00">
        <w:rPr>
          <w:rFonts w:ascii="Arial" w:hAnsi="Arial" w:cs="Arial"/>
          <w:sz w:val="22"/>
          <w:szCs w:val="22"/>
        </w:rPr>
        <w:t>biomarker</w:t>
      </w:r>
      <w:r w:rsidR="00210F9F" w:rsidRPr="00F01A00">
        <w:rPr>
          <w:rFonts w:ascii="Arial" w:hAnsi="Arial" w:cs="Arial"/>
          <w:sz w:val="22"/>
          <w:szCs w:val="22"/>
        </w:rPr>
        <w:t>s</w:t>
      </w:r>
      <w:r w:rsidR="003B28C0" w:rsidRPr="00F01A00">
        <w:rPr>
          <w:rFonts w:ascii="Arial" w:hAnsi="Arial" w:cs="Arial"/>
          <w:sz w:val="22"/>
          <w:szCs w:val="22"/>
        </w:rPr>
        <w:t xml:space="preserve"> or </w:t>
      </w:r>
      <w:r w:rsidR="005E2690">
        <w:rPr>
          <w:rFonts w:ascii="Arial" w:hAnsi="Arial" w:cs="Arial"/>
          <w:sz w:val="22"/>
          <w:szCs w:val="22"/>
        </w:rPr>
        <w:t>as</w:t>
      </w:r>
      <w:r w:rsidR="003B28C0" w:rsidRPr="00F01A00">
        <w:rPr>
          <w:rFonts w:ascii="Arial" w:hAnsi="Arial" w:cs="Arial"/>
          <w:sz w:val="22"/>
          <w:szCs w:val="22"/>
        </w:rPr>
        <w:t xml:space="preserve"> therapeutic</w:t>
      </w:r>
      <w:r w:rsidR="005E2690">
        <w:rPr>
          <w:rFonts w:ascii="Arial" w:hAnsi="Arial" w:cs="Arial"/>
          <w:sz w:val="22"/>
          <w:szCs w:val="22"/>
        </w:rPr>
        <w:t xml:space="preserve">s by </w:t>
      </w:r>
      <w:r w:rsidR="003B28C0" w:rsidRPr="00F01A00">
        <w:rPr>
          <w:rFonts w:ascii="Arial" w:hAnsi="Arial" w:cs="Arial"/>
          <w:sz w:val="22"/>
          <w:szCs w:val="22"/>
        </w:rPr>
        <w:t>antibody directed cellular cytotoxicity (ADCC), antibody drug conjugate (ADC) or bispecific T-cell engagers (</w:t>
      </w:r>
      <w:proofErr w:type="spellStart"/>
      <w:r w:rsidR="003B28C0" w:rsidRPr="00F01A00">
        <w:rPr>
          <w:rFonts w:ascii="Arial" w:hAnsi="Arial" w:cs="Arial"/>
          <w:sz w:val="22"/>
          <w:szCs w:val="22"/>
        </w:rPr>
        <w:t>BiTE</w:t>
      </w:r>
      <w:proofErr w:type="spellEnd"/>
      <w:r w:rsidR="003B28C0" w:rsidRPr="00F01A00">
        <w:rPr>
          <w:rFonts w:ascii="Arial" w:hAnsi="Arial" w:cs="Arial"/>
          <w:sz w:val="22"/>
          <w:szCs w:val="22"/>
        </w:rPr>
        <w:t xml:space="preserve">). </w:t>
      </w:r>
    </w:p>
    <w:p w14:paraId="427C2B6D" w14:textId="77777777" w:rsidR="00D304D2" w:rsidRPr="00F01A00" w:rsidRDefault="00D304D2" w:rsidP="00AB2151">
      <w:pPr>
        <w:pStyle w:val="xmsonormal"/>
        <w:spacing w:before="0" w:beforeAutospacing="0" w:after="0" w:afterAutospacing="0"/>
        <w:jc w:val="both"/>
        <w:rPr>
          <w:rFonts w:ascii="Arial" w:hAnsi="Arial" w:cs="Arial"/>
          <w:b/>
          <w:bCs/>
          <w:color w:val="000000"/>
          <w:sz w:val="22"/>
          <w:szCs w:val="22"/>
        </w:rPr>
      </w:pPr>
    </w:p>
    <w:p w14:paraId="7D289E83" w14:textId="241465F6" w:rsidR="00D22949" w:rsidRPr="00F01A00" w:rsidRDefault="0005479B" w:rsidP="00AB2151">
      <w:pPr>
        <w:pStyle w:val="xmsonormal"/>
        <w:spacing w:before="0" w:beforeAutospacing="0" w:after="0" w:afterAutospacing="0"/>
        <w:jc w:val="both"/>
        <w:rPr>
          <w:rFonts w:ascii="Arial" w:hAnsi="Arial" w:cs="Arial"/>
          <w:color w:val="000000"/>
          <w:sz w:val="22"/>
          <w:szCs w:val="22"/>
        </w:rPr>
      </w:pPr>
      <w:r w:rsidRPr="00F01A00">
        <w:rPr>
          <w:rFonts w:ascii="Arial" w:hAnsi="Arial" w:cs="Arial"/>
          <w:b/>
          <w:bCs/>
          <w:color w:val="000000"/>
          <w:sz w:val="22"/>
          <w:szCs w:val="22"/>
        </w:rPr>
        <w:t>EXPERIMENTAL PLAN</w:t>
      </w:r>
    </w:p>
    <w:p w14:paraId="42C28E18" w14:textId="77777777" w:rsidR="005220F5" w:rsidRPr="00F01A00" w:rsidRDefault="005220F5" w:rsidP="00AB2151">
      <w:pPr>
        <w:jc w:val="both"/>
        <w:rPr>
          <w:rFonts w:ascii="Arial" w:eastAsia="Times New Roman" w:hAnsi="Arial" w:cs="Arial"/>
          <w:b/>
          <w:bCs/>
          <w:sz w:val="22"/>
          <w:szCs w:val="22"/>
        </w:rPr>
      </w:pPr>
    </w:p>
    <w:p w14:paraId="501F8B50" w14:textId="68F744B5" w:rsidR="005E023A" w:rsidRPr="00F01A00" w:rsidRDefault="005E023A" w:rsidP="00AB2151">
      <w:pPr>
        <w:jc w:val="both"/>
        <w:rPr>
          <w:rFonts w:ascii="Arial" w:hAnsi="Arial" w:cs="Arial"/>
          <w:b/>
          <w:bCs/>
          <w:color w:val="000000"/>
          <w:sz w:val="22"/>
          <w:szCs w:val="22"/>
        </w:rPr>
      </w:pPr>
      <w:r w:rsidRPr="00F01A00">
        <w:rPr>
          <w:rFonts w:ascii="Arial" w:hAnsi="Arial" w:cs="Arial"/>
          <w:b/>
          <w:bCs/>
          <w:color w:val="333333"/>
          <w:sz w:val="22"/>
          <w:szCs w:val="22"/>
          <w:shd w:val="clear" w:color="auto" w:fill="FFFFFF"/>
        </w:rPr>
        <w:t>Aim 2</w:t>
      </w:r>
      <w:r w:rsidRPr="00F01A00">
        <w:rPr>
          <w:rFonts w:ascii="Arial" w:hAnsi="Arial" w:cs="Arial"/>
          <w:color w:val="333333"/>
          <w:sz w:val="22"/>
          <w:szCs w:val="22"/>
          <w:shd w:val="clear" w:color="auto" w:fill="FFFFFF"/>
        </w:rPr>
        <w:t xml:space="preserve">. </w:t>
      </w:r>
      <w:r w:rsidRPr="00F01A00">
        <w:rPr>
          <w:rFonts w:ascii="Arial" w:hAnsi="Arial" w:cs="Arial"/>
          <w:b/>
          <w:bCs/>
          <w:color w:val="000000"/>
          <w:sz w:val="22"/>
          <w:szCs w:val="22"/>
        </w:rPr>
        <w:t xml:space="preserve">Employ industrialized phage display platform to generate panels of recombinant antibodies to modulate targets </w:t>
      </w:r>
      <w:proofErr w:type="gramStart"/>
      <w:r w:rsidR="005E2690">
        <w:rPr>
          <w:rFonts w:ascii="Arial" w:hAnsi="Arial" w:cs="Arial"/>
          <w:b/>
          <w:bCs/>
          <w:color w:val="000000"/>
          <w:sz w:val="22"/>
          <w:szCs w:val="22"/>
        </w:rPr>
        <w:t>up-regulated</w:t>
      </w:r>
      <w:proofErr w:type="gramEnd"/>
      <w:r w:rsidR="005E2690">
        <w:rPr>
          <w:rFonts w:ascii="Arial" w:hAnsi="Arial" w:cs="Arial"/>
          <w:b/>
          <w:bCs/>
          <w:color w:val="000000"/>
          <w:sz w:val="22"/>
          <w:szCs w:val="22"/>
        </w:rPr>
        <w:t xml:space="preserve"> in tumor vasculature</w:t>
      </w:r>
      <w:r w:rsidRPr="00F01A00">
        <w:rPr>
          <w:rFonts w:ascii="Arial" w:hAnsi="Arial" w:cs="Arial"/>
          <w:b/>
          <w:bCs/>
          <w:color w:val="000000"/>
          <w:sz w:val="22"/>
          <w:szCs w:val="22"/>
        </w:rPr>
        <w:t>.</w:t>
      </w:r>
    </w:p>
    <w:p w14:paraId="65305C32" w14:textId="5485EEDA" w:rsidR="005E023A" w:rsidRPr="00F01A00" w:rsidRDefault="005E023A" w:rsidP="00AB2151">
      <w:pPr>
        <w:jc w:val="both"/>
        <w:rPr>
          <w:rFonts w:ascii="Arial" w:hAnsi="Arial" w:cs="Arial"/>
          <w:b/>
          <w:bCs/>
          <w:color w:val="000000"/>
          <w:sz w:val="22"/>
          <w:szCs w:val="22"/>
        </w:rPr>
      </w:pPr>
    </w:p>
    <w:p w14:paraId="373C0939" w14:textId="16D10B50" w:rsidR="00C5176D" w:rsidRPr="00F01A00" w:rsidRDefault="0007597D" w:rsidP="00AB2151">
      <w:pPr>
        <w:jc w:val="both"/>
        <w:rPr>
          <w:rFonts w:ascii="Arial" w:hAnsi="Arial" w:cs="Arial"/>
          <w:sz w:val="22"/>
          <w:szCs w:val="22"/>
        </w:rPr>
      </w:pPr>
      <w:r w:rsidRPr="00F01A00">
        <w:rPr>
          <w:rFonts w:ascii="Arial" w:hAnsi="Arial" w:cs="Arial"/>
          <w:sz w:val="22"/>
          <w:szCs w:val="22"/>
        </w:rPr>
        <w:t>We</w:t>
      </w:r>
      <w:r w:rsidR="005E023A" w:rsidRPr="00F01A00">
        <w:rPr>
          <w:rFonts w:ascii="Arial" w:hAnsi="Arial" w:cs="Arial"/>
          <w:sz w:val="22"/>
          <w:szCs w:val="22"/>
        </w:rPr>
        <w:t xml:space="preserve"> will </w:t>
      </w:r>
      <w:r w:rsidR="00DD4AC1" w:rsidRPr="00F01A00">
        <w:rPr>
          <w:rFonts w:ascii="Arial" w:hAnsi="Arial" w:cs="Arial"/>
          <w:sz w:val="22"/>
          <w:szCs w:val="22"/>
        </w:rPr>
        <w:t>nominate</w:t>
      </w:r>
      <w:r w:rsidR="005E023A" w:rsidRPr="00F01A00">
        <w:rPr>
          <w:rFonts w:ascii="Arial" w:hAnsi="Arial" w:cs="Arial"/>
          <w:sz w:val="22"/>
          <w:szCs w:val="22"/>
        </w:rPr>
        <w:t xml:space="preserve"> </w:t>
      </w:r>
      <w:r w:rsidR="004656D7" w:rsidRPr="00F01A00">
        <w:rPr>
          <w:rFonts w:ascii="Arial" w:hAnsi="Arial" w:cs="Arial"/>
          <w:sz w:val="22"/>
          <w:szCs w:val="22"/>
        </w:rPr>
        <w:t xml:space="preserve">up to </w:t>
      </w:r>
      <w:r w:rsidR="005E2690">
        <w:rPr>
          <w:rFonts w:ascii="Arial" w:hAnsi="Arial" w:cs="Arial"/>
          <w:sz w:val="22"/>
          <w:szCs w:val="22"/>
        </w:rPr>
        <w:t>6</w:t>
      </w:r>
      <w:r w:rsidR="00C5176D" w:rsidRPr="00F01A00">
        <w:rPr>
          <w:rFonts w:ascii="Arial" w:hAnsi="Arial" w:cs="Arial"/>
          <w:sz w:val="22"/>
          <w:szCs w:val="22"/>
        </w:rPr>
        <w:t xml:space="preserve"> </w:t>
      </w:r>
      <w:r w:rsidR="005E023A" w:rsidRPr="00F01A00">
        <w:rPr>
          <w:rFonts w:ascii="Arial" w:hAnsi="Arial" w:cs="Arial"/>
          <w:sz w:val="22"/>
          <w:szCs w:val="22"/>
        </w:rPr>
        <w:t>candidate</w:t>
      </w:r>
      <w:r w:rsidR="00DD4AC1" w:rsidRPr="00F01A00">
        <w:rPr>
          <w:rFonts w:ascii="Arial" w:hAnsi="Arial" w:cs="Arial"/>
          <w:sz w:val="22"/>
          <w:szCs w:val="22"/>
        </w:rPr>
        <w:t xml:space="preserve"> surface proteins</w:t>
      </w:r>
      <w:r w:rsidR="005E023A" w:rsidRPr="00F01A00">
        <w:rPr>
          <w:rFonts w:ascii="Arial" w:hAnsi="Arial" w:cs="Arial"/>
          <w:sz w:val="22"/>
          <w:szCs w:val="22"/>
        </w:rPr>
        <w:t xml:space="preserve"> </w:t>
      </w:r>
      <w:r w:rsidR="008D2488" w:rsidRPr="00F01A00">
        <w:rPr>
          <w:rFonts w:ascii="Arial" w:hAnsi="Arial" w:cs="Arial"/>
          <w:color w:val="000000"/>
          <w:sz w:val="22"/>
          <w:szCs w:val="22"/>
        </w:rPr>
        <w:t xml:space="preserve">from </w:t>
      </w:r>
      <w:proofErr w:type="spellStart"/>
      <w:r w:rsidR="005E2690">
        <w:rPr>
          <w:rFonts w:ascii="Arial" w:hAnsi="Arial" w:cs="Arial"/>
          <w:color w:val="000000"/>
          <w:sz w:val="22"/>
          <w:szCs w:val="22"/>
        </w:rPr>
        <w:t>vascularture</w:t>
      </w:r>
      <w:proofErr w:type="spellEnd"/>
      <w:r w:rsidR="008D2488" w:rsidRPr="00F01A00">
        <w:rPr>
          <w:rFonts w:ascii="Arial" w:hAnsi="Arial" w:cs="Arial"/>
          <w:sz w:val="22"/>
          <w:szCs w:val="22"/>
        </w:rPr>
        <w:t xml:space="preserve"> </w:t>
      </w:r>
      <w:r w:rsidR="005E2690">
        <w:rPr>
          <w:rFonts w:ascii="Arial" w:hAnsi="Arial" w:cs="Arial"/>
          <w:sz w:val="22"/>
          <w:szCs w:val="22"/>
        </w:rPr>
        <w:t xml:space="preserve">in tumor </w:t>
      </w:r>
      <w:proofErr w:type="spellStart"/>
      <w:r w:rsidR="005E2690">
        <w:rPr>
          <w:rFonts w:ascii="Arial" w:hAnsi="Arial" w:cs="Arial"/>
          <w:sz w:val="22"/>
          <w:szCs w:val="22"/>
        </w:rPr>
        <w:t>microenviroment</w:t>
      </w:r>
      <w:proofErr w:type="spellEnd"/>
      <w:r w:rsidR="005E2690">
        <w:rPr>
          <w:rFonts w:ascii="Arial" w:hAnsi="Arial" w:cs="Arial"/>
          <w:sz w:val="22"/>
          <w:szCs w:val="22"/>
        </w:rPr>
        <w:t xml:space="preserve"> </w:t>
      </w:r>
      <w:r w:rsidR="005E023A" w:rsidRPr="00F01A00">
        <w:rPr>
          <w:rFonts w:ascii="Arial" w:hAnsi="Arial" w:cs="Arial"/>
          <w:sz w:val="22"/>
          <w:szCs w:val="22"/>
        </w:rPr>
        <w:t>for antibody generation</w:t>
      </w:r>
      <w:r w:rsidR="00C5176D" w:rsidRPr="00F01A00">
        <w:rPr>
          <w:rFonts w:ascii="Arial" w:hAnsi="Arial" w:cs="Arial"/>
          <w:sz w:val="22"/>
          <w:szCs w:val="22"/>
        </w:rPr>
        <w:t>. Candidate nomination will be</w:t>
      </w:r>
      <w:r w:rsidR="005E023A" w:rsidRPr="00F01A00">
        <w:rPr>
          <w:rFonts w:ascii="Arial" w:hAnsi="Arial" w:cs="Arial"/>
          <w:sz w:val="22"/>
          <w:szCs w:val="22"/>
        </w:rPr>
        <w:t xml:space="preserve"> </w:t>
      </w:r>
      <w:r w:rsidR="00DD4AC1" w:rsidRPr="00F01A00">
        <w:rPr>
          <w:rFonts w:ascii="Arial" w:hAnsi="Arial" w:cs="Arial"/>
          <w:sz w:val="22"/>
          <w:szCs w:val="22"/>
        </w:rPr>
        <w:t>based upon</w:t>
      </w:r>
      <w:r w:rsidR="005E2690">
        <w:rPr>
          <w:rFonts w:ascii="Arial" w:hAnsi="Arial" w:cs="Arial"/>
          <w:sz w:val="22"/>
          <w:szCs w:val="22"/>
        </w:rPr>
        <w:t xml:space="preserve"> xxx</w:t>
      </w:r>
      <w:r w:rsidR="00DD4AC1" w:rsidRPr="00F01A00">
        <w:rPr>
          <w:rFonts w:ascii="Arial" w:hAnsi="Arial" w:cs="Arial"/>
          <w:sz w:val="22"/>
          <w:szCs w:val="22"/>
        </w:rPr>
        <w:t>.</w:t>
      </w:r>
      <w:r w:rsidR="005E023A" w:rsidRPr="00F01A00">
        <w:rPr>
          <w:rFonts w:ascii="Arial" w:hAnsi="Arial" w:cs="Arial"/>
          <w:sz w:val="22"/>
          <w:szCs w:val="22"/>
        </w:rPr>
        <w:t xml:space="preserve"> </w:t>
      </w:r>
      <w:r w:rsidR="007D4DC9" w:rsidRPr="00F01A00">
        <w:rPr>
          <w:rFonts w:ascii="Arial" w:hAnsi="Arial" w:cs="Arial"/>
          <w:sz w:val="22"/>
          <w:szCs w:val="22"/>
        </w:rPr>
        <w:t xml:space="preserve">Although we anticipate finding </w:t>
      </w:r>
      <w:proofErr w:type="gramStart"/>
      <w:r w:rsidR="007D4DC9" w:rsidRPr="00F01A00">
        <w:rPr>
          <w:rFonts w:ascii="Arial" w:hAnsi="Arial" w:cs="Arial"/>
          <w:sz w:val="22"/>
          <w:szCs w:val="22"/>
        </w:rPr>
        <w:t>a number of</w:t>
      </w:r>
      <w:proofErr w:type="gramEnd"/>
      <w:r w:rsidR="007D4DC9" w:rsidRPr="00F01A00">
        <w:rPr>
          <w:rFonts w:ascii="Arial" w:hAnsi="Arial" w:cs="Arial"/>
          <w:sz w:val="22"/>
          <w:szCs w:val="22"/>
        </w:rPr>
        <w:t xml:space="preserve"> novel targets, </w:t>
      </w:r>
      <w:r w:rsidR="005E2690">
        <w:rPr>
          <w:rFonts w:ascii="Arial" w:hAnsi="Arial" w:cs="Arial"/>
          <w:sz w:val="22"/>
          <w:szCs w:val="22"/>
        </w:rPr>
        <w:t>we also expect some targets to have existing antibodies where we could</w:t>
      </w:r>
      <w:r w:rsidR="007D4DC9" w:rsidRPr="00F01A00">
        <w:rPr>
          <w:rFonts w:ascii="Arial" w:hAnsi="Arial" w:cs="Arial"/>
          <w:sz w:val="22"/>
          <w:szCs w:val="22"/>
        </w:rPr>
        <w:t xml:space="preserve"> simply clone and express published recombinant binders for further testing</w:t>
      </w:r>
      <w:r w:rsidR="005E023A" w:rsidRPr="00F01A00">
        <w:rPr>
          <w:rFonts w:ascii="Arial" w:hAnsi="Arial" w:cs="Arial"/>
          <w:sz w:val="22"/>
          <w:szCs w:val="22"/>
        </w:rPr>
        <w:t xml:space="preserve">. </w:t>
      </w:r>
      <w:r w:rsidR="004656D7" w:rsidRPr="00F01A00">
        <w:rPr>
          <w:rFonts w:ascii="Arial" w:hAnsi="Arial" w:cs="Arial"/>
          <w:sz w:val="22"/>
          <w:szCs w:val="22"/>
        </w:rPr>
        <w:t xml:space="preserve">We summarize our specific triage process below in </w:t>
      </w:r>
      <w:r w:rsidR="004656D7" w:rsidRPr="00F01A00">
        <w:rPr>
          <w:rFonts w:ascii="Arial" w:hAnsi="Arial" w:cs="Arial"/>
          <w:b/>
          <w:bCs/>
          <w:sz w:val="22"/>
          <w:szCs w:val="22"/>
        </w:rPr>
        <w:t>Figure 5</w:t>
      </w:r>
      <w:r w:rsidR="004656D7" w:rsidRPr="00F01A00">
        <w:rPr>
          <w:rFonts w:ascii="Arial" w:hAnsi="Arial" w:cs="Arial"/>
          <w:sz w:val="22"/>
          <w:szCs w:val="22"/>
        </w:rPr>
        <w:t>.</w:t>
      </w:r>
      <w:r w:rsidR="004656D7" w:rsidRPr="00F01A00">
        <w:rPr>
          <w:rFonts w:ascii="Arial" w:hAnsi="Arial" w:cs="Arial"/>
          <w:noProof/>
        </w:rPr>
        <w:t xml:space="preserve"> </w:t>
      </w:r>
      <w:r w:rsidR="004656D7" w:rsidRPr="00F01A00">
        <w:rPr>
          <w:rFonts w:ascii="Arial" w:hAnsi="Arial" w:cs="Arial"/>
          <w:sz w:val="22"/>
          <w:szCs w:val="22"/>
        </w:rPr>
        <w:t xml:space="preserve"> </w:t>
      </w:r>
    </w:p>
    <w:p w14:paraId="0C1FB417" w14:textId="77777777" w:rsidR="003E59FA" w:rsidRPr="00F01A00" w:rsidRDefault="003E59FA" w:rsidP="00AB2151">
      <w:pPr>
        <w:jc w:val="both"/>
        <w:rPr>
          <w:rFonts w:ascii="Arial" w:hAnsi="Arial" w:cs="Arial"/>
          <w:b/>
          <w:bCs/>
          <w:color w:val="000000"/>
          <w:sz w:val="22"/>
          <w:szCs w:val="22"/>
        </w:rPr>
      </w:pPr>
    </w:p>
    <w:p w14:paraId="250E3FE6" w14:textId="6CABBF0C" w:rsidR="005E023A" w:rsidRPr="00F01A00" w:rsidRDefault="005E023A" w:rsidP="00AB2151">
      <w:pPr>
        <w:jc w:val="both"/>
        <w:rPr>
          <w:rFonts w:ascii="Arial" w:hAnsi="Arial" w:cs="Arial"/>
          <w:color w:val="000000"/>
          <w:sz w:val="22"/>
          <w:szCs w:val="22"/>
        </w:rPr>
      </w:pPr>
      <w:proofErr w:type="spellStart"/>
      <w:r w:rsidRPr="00F01A00">
        <w:rPr>
          <w:rFonts w:ascii="Arial" w:hAnsi="Arial" w:cs="Arial"/>
          <w:b/>
          <w:bCs/>
          <w:color w:val="000000"/>
          <w:sz w:val="22"/>
          <w:szCs w:val="22"/>
        </w:rPr>
        <w:t>Subaim</w:t>
      </w:r>
      <w:proofErr w:type="spellEnd"/>
      <w:r w:rsidRPr="00F01A00">
        <w:rPr>
          <w:rFonts w:ascii="Arial" w:hAnsi="Arial" w:cs="Arial"/>
          <w:b/>
          <w:bCs/>
          <w:color w:val="000000"/>
          <w:sz w:val="22"/>
          <w:szCs w:val="22"/>
        </w:rPr>
        <w:t xml:space="preserve"> 2A. </w:t>
      </w:r>
      <w:r w:rsidRPr="00F01A00">
        <w:rPr>
          <w:rFonts w:ascii="Arial" w:hAnsi="Arial" w:cs="Arial"/>
          <w:color w:val="000000"/>
          <w:sz w:val="22"/>
          <w:szCs w:val="22"/>
        </w:rPr>
        <w:t>Generate antigens and select for antibodies using Fab-phage and VH-domain phage libraries.</w:t>
      </w:r>
    </w:p>
    <w:p w14:paraId="1B058668" w14:textId="50B98A93" w:rsidR="005E023A" w:rsidRPr="00F01A00" w:rsidRDefault="003165E6" w:rsidP="00AB2151">
      <w:pPr>
        <w:jc w:val="both"/>
        <w:rPr>
          <w:rFonts w:ascii="Arial" w:hAnsi="Arial" w:cs="Arial"/>
          <w:sz w:val="22"/>
          <w:szCs w:val="22"/>
        </w:rPr>
      </w:pPr>
      <w:r w:rsidRPr="00F01A00">
        <w:rPr>
          <w:rFonts w:ascii="Arial" w:hAnsi="Arial" w:cs="Arial"/>
          <w:sz w:val="22"/>
          <w:szCs w:val="22"/>
        </w:rPr>
        <w:tab/>
      </w:r>
    </w:p>
    <w:p w14:paraId="1556DB00" w14:textId="2B042E86" w:rsidR="004D517F" w:rsidRPr="00F01A00" w:rsidRDefault="005E023A" w:rsidP="00AB2151">
      <w:pPr>
        <w:pStyle w:val="ListParagraph"/>
        <w:numPr>
          <w:ilvl w:val="0"/>
          <w:numId w:val="5"/>
        </w:numPr>
        <w:ind w:left="0" w:firstLine="540"/>
        <w:jc w:val="both"/>
        <w:rPr>
          <w:rFonts w:ascii="Arial" w:hAnsi="Arial" w:cs="Arial"/>
          <w:sz w:val="22"/>
          <w:szCs w:val="22"/>
        </w:rPr>
      </w:pPr>
      <w:r w:rsidRPr="00F01A00">
        <w:rPr>
          <w:rFonts w:ascii="Arial" w:hAnsi="Arial" w:cs="Arial"/>
          <w:i/>
          <w:sz w:val="22"/>
          <w:szCs w:val="22"/>
        </w:rPr>
        <w:t>Generating soluble</w:t>
      </w:r>
      <w:r w:rsidR="003165E6" w:rsidRPr="00F01A00">
        <w:rPr>
          <w:rFonts w:ascii="Arial" w:hAnsi="Arial" w:cs="Arial"/>
          <w:i/>
          <w:sz w:val="22"/>
          <w:szCs w:val="22"/>
        </w:rPr>
        <w:t xml:space="preserve"> </w:t>
      </w:r>
      <w:r w:rsidR="004A25CE" w:rsidRPr="00F01A00">
        <w:rPr>
          <w:rFonts w:ascii="Arial" w:hAnsi="Arial" w:cs="Arial"/>
          <w:i/>
          <w:sz w:val="22"/>
          <w:szCs w:val="22"/>
        </w:rPr>
        <w:t xml:space="preserve">antigen </w:t>
      </w:r>
      <w:r w:rsidR="003165E6" w:rsidRPr="00F01A00">
        <w:rPr>
          <w:rFonts w:ascii="Arial" w:hAnsi="Arial" w:cs="Arial"/>
          <w:i/>
          <w:sz w:val="22"/>
          <w:szCs w:val="22"/>
        </w:rPr>
        <w:t>for phage selections</w:t>
      </w:r>
      <w:r w:rsidRPr="00F01A00">
        <w:rPr>
          <w:rFonts w:ascii="Arial" w:hAnsi="Arial" w:cs="Arial"/>
          <w:i/>
          <w:sz w:val="22"/>
          <w:szCs w:val="22"/>
        </w:rPr>
        <w:t xml:space="preserve"> and cell displayed candidate extracellular proteins</w:t>
      </w:r>
      <w:r w:rsidR="003165E6" w:rsidRPr="00F01A00">
        <w:rPr>
          <w:rFonts w:ascii="Arial" w:hAnsi="Arial" w:cs="Arial"/>
          <w:i/>
          <w:sz w:val="22"/>
          <w:szCs w:val="22"/>
        </w:rPr>
        <w:t xml:space="preserve"> for antibody validation</w:t>
      </w:r>
      <w:r w:rsidRPr="00F01A00">
        <w:rPr>
          <w:rFonts w:ascii="Arial" w:hAnsi="Arial" w:cs="Arial"/>
          <w:i/>
          <w:sz w:val="22"/>
          <w:szCs w:val="22"/>
        </w:rPr>
        <w:t xml:space="preserve">. </w:t>
      </w:r>
      <w:r w:rsidR="003165E6" w:rsidRPr="00F01A00">
        <w:rPr>
          <w:rFonts w:ascii="Arial" w:hAnsi="Arial" w:cs="Arial"/>
          <w:sz w:val="22"/>
          <w:szCs w:val="22"/>
        </w:rPr>
        <w:t xml:space="preserve"> Antigen quality is key to antibody selection for native epitopes</w:t>
      </w:r>
      <w:r w:rsidR="00964906" w:rsidRPr="00F01A00">
        <w:rPr>
          <w:rFonts w:ascii="Arial" w:hAnsi="Arial" w:cs="Arial"/>
          <w:sz w:val="22"/>
          <w:szCs w:val="22"/>
        </w:rPr>
        <w:t xml:space="preserve"> </w:t>
      </w:r>
      <w:r w:rsidR="00E463B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obuGKBh3","properties":{"formattedCitation":"[12]","plainCitation":"[12]","noteIndex":0},"citationItems":[{"id":"peimv2KQ/6iLWbnNI","uris":["http://www.mendeley.com/documents/?uuid=0564a104-9c51-4acf-bba9-9cda2d3a1f65"],"itemData":{"DOI":"10.1038/nbt.1791","ISSN":"1087-0156","author":[{"dropping-particle":"","family":"Bradbury","given":"Andrew R M","non-dropping-particle":"","parse-names":false,"suffix":""},{"dropping-particle":"","family":"Sidhu","given":"Sachdev","non-dropping-particle":"","parse-names":false,"suffix":""},{"dropping-particle":"","family":"Dübel","given":"Stefan","non-dropping-particle":"","parse-names":false,"suffix":""},{"dropping-particle":"","family":"McCafferty","given":"John","non-dropping-particle":"","parse-names":false,"suffix":""}],"container-title":"Nature Biotechnology","id":"ITEM-1","issue":"3","issued":{"date-parts":[["2011","3"]]},"page":"245-254","title":"Beyond natural antibodies: the power of in vitro display technologies","type":"article-journal","volume":"29"}}],"schema":"https://github.com/citation-style-language/schema/raw/master/csl-citation.json"} </w:instrText>
      </w:r>
      <w:r w:rsidR="00E463BA" w:rsidRPr="00F01A00">
        <w:rPr>
          <w:rFonts w:ascii="Arial" w:hAnsi="Arial" w:cs="Arial"/>
          <w:sz w:val="22"/>
          <w:szCs w:val="22"/>
        </w:rPr>
        <w:fldChar w:fldCharType="separate"/>
      </w:r>
      <w:r w:rsidR="00AB3BB1" w:rsidRPr="00F01A00">
        <w:rPr>
          <w:rFonts w:ascii="Arial" w:hAnsi="Arial" w:cs="Arial"/>
          <w:noProof/>
          <w:sz w:val="22"/>
          <w:szCs w:val="22"/>
        </w:rPr>
        <w:t>[12]</w:t>
      </w:r>
      <w:r w:rsidR="00E463BA" w:rsidRPr="00F01A00">
        <w:rPr>
          <w:rFonts w:ascii="Arial" w:hAnsi="Arial" w:cs="Arial"/>
          <w:sz w:val="22"/>
          <w:szCs w:val="22"/>
        </w:rPr>
        <w:fldChar w:fldCharType="end"/>
      </w:r>
      <w:r w:rsidR="003165E6" w:rsidRPr="00F01A00">
        <w:rPr>
          <w:rFonts w:ascii="Arial" w:hAnsi="Arial" w:cs="Arial"/>
          <w:sz w:val="22"/>
          <w:szCs w:val="22"/>
        </w:rPr>
        <w:t xml:space="preserve">. To ensure glycosylation and native disulfide formation of our candidate targets, the extracellular domains </w:t>
      </w:r>
      <w:r w:rsidR="008E73F6" w:rsidRPr="00F01A00">
        <w:rPr>
          <w:rFonts w:ascii="Arial" w:hAnsi="Arial" w:cs="Arial"/>
          <w:sz w:val="22"/>
          <w:szCs w:val="22"/>
        </w:rPr>
        <w:t>are</w:t>
      </w:r>
      <w:r w:rsidR="003165E6" w:rsidRPr="00F01A00">
        <w:rPr>
          <w:rFonts w:ascii="Arial" w:hAnsi="Arial" w:cs="Arial"/>
          <w:sz w:val="22"/>
          <w:szCs w:val="22"/>
        </w:rPr>
        <w:t xml:space="preserve"> routinely express</w:t>
      </w:r>
      <w:r w:rsidR="003E42E3" w:rsidRPr="00F01A00">
        <w:rPr>
          <w:rFonts w:ascii="Arial" w:hAnsi="Arial" w:cs="Arial"/>
          <w:sz w:val="22"/>
          <w:szCs w:val="22"/>
        </w:rPr>
        <w:t>ed</w:t>
      </w:r>
      <w:r w:rsidR="008E73F6" w:rsidRPr="00F01A00">
        <w:rPr>
          <w:rFonts w:ascii="Arial" w:hAnsi="Arial" w:cs="Arial"/>
          <w:sz w:val="22"/>
          <w:szCs w:val="22"/>
        </w:rPr>
        <w:t xml:space="preserve"> in </w:t>
      </w:r>
      <w:r w:rsidR="0007597D" w:rsidRPr="00F01A00">
        <w:rPr>
          <w:rFonts w:ascii="Arial" w:hAnsi="Arial" w:cs="Arial"/>
          <w:sz w:val="22"/>
          <w:szCs w:val="22"/>
        </w:rPr>
        <w:t xml:space="preserve">human </w:t>
      </w:r>
      <w:r w:rsidR="003165E6" w:rsidRPr="00F01A00">
        <w:rPr>
          <w:rFonts w:ascii="Arial" w:hAnsi="Arial" w:cs="Arial"/>
          <w:sz w:val="22"/>
          <w:szCs w:val="22"/>
        </w:rPr>
        <w:t>Expi293 cells</w:t>
      </w:r>
      <w:r w:rsidR="008E73F6" w:rsidRPr="00F01A00">
        <w:rPr>
          <w:rFonts w:ascii="Arial" w:hAnsi="Arial" w:cs="Arial"/>
          <w:sz w:val="22"/>
          <w:szCs w:val="22"/>
        </w:rPr>
        <w:t xml:space="preserve"> as soluble secreted </w:t>
      </w:r>
      <w:r w:rsidRPr="00F01A00">
        <w:rPr>
          <w:rFonts w:ascii="Arial" w:hAnsi="Arial" w:cs="Arial"/>
          <w:sz w:val="22"/>
          <w:szCs w:val="22"/>
        </w:rPr>
        <w:t xml:space="preserve">Fc-fusion proteins that are tagged for purification and immobilization on affinity resin for Fab-phage selections </w:t>
      </w:r>
      <w:r w:rsidRPr="00F01A00">
        <w:rPr>
          <w:rFonts w:ascii="Arial" w:hAnsi="Arial" w:cs="Arial"/>
          <w:b/>
          <w:sz w:val="22"/>
          <w:szCs w:val="22"/>
        </w:rPr>
        <w:t xml:space="preserve">(Figure </w:t>
      </w:r>
      <w:r w:rsidR="004656D7" w:rsidRPr="00F01A00">
        <w:rPr>
          <w:rFonts w:ascii="Arial" w:hAnsi="Arial" w:cs="Arial"/>
          <w:b/>
          <w:sz w:val="22"/>
          <w:szCs w:val="22"/>
        </w:rPr>
        <w:t>6</w:t>
      </w:r>
      <w:r w:rsidRPr="00F01A00">
        <w:rPr>
          <w:rFonts w:ascii="Arial" w:hAnsi="Arial" w:cs="Arial"/>
          <w:b/>
          <w:sz w:val="22"/>
          <w:szCs w:val="22"/>
        </w:rPr>
        <w:t>A)</w:t>
      </w:r>
      <w:r w:rsidRPr="00F01A00">
        <w:rPr>
          <w:rFonts w:ascii="Arial" w:hAnsi="Arial" w:cs="Arial"/>
          <w:sz w:val="22"/>
          <w:szCs w:val="22"/>
        </w:rPr>
        <w:t xml:space="preserve">. </w:t>
      </w:r>
      <w:r w:rsidR="008E73F6" w:rsidRPr="00F01A00">
        <w:rPr>
          <w:rFonts w:ascii="Arial" w:hAnsi="Arial" w:cs="Arial"/>
          <w:sz w:val="22"/>
          <w:szCs w:val="22"/>
        </w:rPr>
        <w:t xml:space="preserve">Specifically, </w:t>
      </w:r>
      <w:r w:rsidR="00964906" w:rsidRPr="00F01A00">
        <w:rPr>
          <w:rFonts w:ascii="Arial" w:hAnsi="Arial" w:cs="Arial"/>
          <w:sz w:val="22"/>
          <w:szCs w:val="22"/>
        </w:rPr>
        <w:t>we will fuse the extracellular domain to an</w:t>
      </w:r>
      <w:r w:rsidRPr="00F01A00">
        <w:rPr>
          <w:rFonts w:ascii="Arial" w:hAnsi="Arial" w:cs="Arial"/>
          <w:sz w:val="22"/>
          <w:szCs w:val="22"/>
        </w:rPr>
        <w:t xml:space="preserve"> Fc domain to enhance secretion and solubility</w:t>
      </w:r>
      <w:r w:rsidR="00F334B2" w:rsidRPr="00F01A00">
        <w:rPr>
          <w:rFonts w:ascii="Arial" w:hAnsi="Arial" w:cs="Arial"/>
        </w:rPr>
        <w:t xml:space="preserve"> </w:t>
      </w:r>
      <w:r w:rsidR="00E463BA" w:rsidRPr="00F01A00">
        <w:rPr>
          <w:rFonts w:ascii="Arial" w:hAnsi="Arial" w:cs="Arial"/>
        </w:rPr>
        <w:fldChar w:fldCharType="begin" w:fldLock="1"/>
      </w:r>
      <w:r w:rsidR="00081E72" w:rsidRPr="00F01A00">
        <w:rPr>
          <w:rFonts w:ascii="Arial" w:hAnsi="Arial" w:cs="Arial"/>
        </w:rPr>
        <w:instrText xml:space="preserve"> ADDIN ZOTERO_ITEM CSL_CITATION {"citationID":"f9BRnkNj","properties":{"formattedCitation":"[13]","plainCitation":"[13]","noteIndex":0},"citationItems":[{"id":"peimv2KQ/EBdkmVr3","uris":["http://www.mendeley.com/documents/?uuid=6814f3fa-999d-4dd1-b14c-f01e37350200"],"itemData":{"ISBN":"0269-2139 (Print)\\r0269-2139 (Linking)","ISSN":"0269-2139","PMID":"9725629","abstract":"We have developed a general expression system that enhances the production and secretion of proteins in mammalian cells. The protein of interest is expressed as a fusion to a signal peptide and the Fc fragment of immunoglobulin as the N-terminal fusion partner, which can direct the cellular processes into expressing and secreting high levels of many different types of proteins. These include secretory proteins, enzymes and soluble domains of membrane proteins, as well as nuclear and regulatory proteins. Typical expression levels of these proteins from stable cell lines ranged from several to 100 microg/ml in conditioned media. The Fc domain helps to solubilize hydrophobic proteins and provides a handle for easy detection and purification of the fusion proteins; and it can be cleaved off by treatment with protease if desired.","author":[{"dropping-particle":"","family":"Lo","given":"K M","non-dropping-particle":"","parse-names":false,"suffix":""},{"dropping-particle":"","family":"Sudo","given":"Y","non-dropping-particle":"","parse-names":false,"suffix":""},{"dropping-particle":"","family":"Chen","given":"J","non-dropping-particle":"","parse-names":false,"suffix":""},{"dropping-particle":"","family":"Li","given":"Y","non-dropping-particle":"","parse-names":false,"suffix":""},{"dropping-particle":"","family":"Lan","given":"Y","non-dropping-particle":"","parse-names":false,"suffix":""},{"dropping-particle":"","family":"Kong","given":"S M","non-dropping-particle":"","parse-names":false,"suffix":""},{"dropping-particle":"","family":"Chen","given":"L","non-dropping-particle":"","parse-names":false,"suffix":""},{"dropping-particle":"","family":"An","given":"Q","non-dropping-particle":"","parse-names":false,"suffix":""},{"dropping-particle":"","family":"Gillies","given":"S D","non-dropping-particle":"","parse-names":false,"suffix":""}],"container-title":"Protein engineering","id":"ITEM-1","issue":"6","issued":{"date-parts":[["1998"]]},"page":"495-500","title":"High level expression and secretion of Fc-X fusion proteins in mammalian cells.","type":"article-journal","volume":"11"}}],"schema":"https://github.com/citation-style-language/schema/raw/master/csl-citation.json"} </w:instrText>
      </w:r>
      <w:r w:rsidR="00E463BA" w:rsidRPr="00F01A00">
        <w:rPr>
          <w:rFonts w:ascii="Arial" w:hAnsi="Arial" w:cs="Arial"/>
        </w:rPr>
        <w:fldChar w:fldCharType="separate"/>
      </w:r>
      <w:r w:rsidR="00AB3BB1" w:rsidRPr="00F01A00">
        <w:rPr>
          <w:rFonts w:ascii="Arial" w:hAnsi="Arial" w:cs="Arial"/>
          <w:noProof/>
        </w:rPr>
        <w:t>[13]</w:t>
      </w:r>
      <w:r w:rsidR="00E463BA" w:rsidRPr="00F01A00">
        <w:rPr>
          <w:rFonts w:ascii="Arial" w:hAnsi="Arial" w:cs="Arial"/>
        </w:rPr>
        <w:fldChar w:fldCharType="end"/>
      </w:r>
      <w:r w:rsidR="00E463BA" w:rsidRPr="00F01A00">
        <w:rPr>
          <w:rFonts w:ascii="Arial" w:hAnsi="Arial" w:cs="Arial"/>
        </w:rPr>
        <w:t>.</w:t>
      </w:r>
      <w:r w:rsidRPr="00F01A00">
        <w:rPr>
          <w:rFonts w:ascii="Arial" w:hAnsi="Arial" w:cs="Arial"/>
          <w:sz w:val="22"/>
          <w:szCs w:val="22"/>
        </w:rPr>
        <w:t xml:space="preserve"> A biotin-acceptor </w:t>
      </w:r>
      <w:proofErr w:type="spellStart"/>
      <w:r w:rsidRPr="00F01A00">
        <w:rPr>
          <w:rFonts w:ascii="Arial" w:hAnsi="Arial" w:cs="Arial"/>
          <w:sz w:val="22"/>
          <w:szCs w:val="22"/>
        </w:rPr>
        <w:t>Avi</w:t>
      </w:r>
      <w:proofErr w:type="spellEnd"/>
      <w:r w:rsidRPr="00F01A00">
        <w:rPr>
          <w:rFonts w:ascii="Arial" w:hAnsi="Arial" w:cs="Arial"/>
          <w:sz w:val="22"/>
          <w:szCs w:val="22"/>
        </w:rPr>
        <w:t xml:space="preserve"> tag peptide is incorporated at the C-terminus to allow for site-specific </w:t>
      </w:r>
      <w:proofErr w:type="spellStart"/>
      <w:r w:rsidRPr="00F01A00">
        <w:rPr>
          <w:rFonts w:ascii="Arial" w:hAnsi="Arial" w:cs="Arial"/>
          <w:sz w:val="22"/>
          <w:szCs w:val="22"/>
        </w:rPr>
        <w:t>biotinylation</w:t>
      </w:r>
      <w:proofErr w:type="spellEnd"/>
      <w:r w:rsidRPr="00F01A00">
        <w:rPr>
          <w:rFonts w:ascii="Arial" w:hAnsi="Arial" w:cs="Arial"/>
          <w:sz w:val="22"/>
          <w:szCs w:val="22"/>
        </w:rPr>
        <w:t xml:space="preserve"> in cells and subsequent affinity capture of the soluble antigen for selections</w:t>
      </w:r>
      <w:r w:rsidR="00F334B2" w:rsidRPr="00F01A00">
        <w:rPr>
          <w:rFonts w:ascii="Arial" w:hAnsi="Arial" w:cs="Arial"/>
          <w:sz w:val="22"/>
          <w:szCs w:val="22"/>
        </w:rPr>
        <w:t xml:space="preserve"> </w:t>
      </w:r>
      <w:r w:rsidR="000C771F"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gc40Jnym","properties":{"formattedCitation":"[14]","plainCitation":"[14]","noteIndex":0},"citationItems":[{"id":"peimv2KQ/CXVzzG7W","uris":["http://www.mendeley.com/documents/?uuid=43d58d32-8122-49b6-af00-d501aedb5146"],"itemData":{"DOI":"10.1016/j.jbiotec.2004.12.003","ISSN":"0168-1656","PMID":"15707685","abstract":"Biotinylation of proteins is an attractive alternative to 'epitope-tagging', due to the strong biotin-(strept)avidin interaction and to the wide commercial availability of reagents for detection and purification of biotinylated macromolecules. Enzymatic biotinylation of target proteins in vivo using short biotin acceptor domains was described previously. Their use in mammalian cell requires expression of the bacterial biotinylation enzyme BirA. Here we describe the construction of a humanized version of BirA, with most of the rare codons replaced by codons that are more frequently used in human cells. The humanized BirA is expressed better in mammalian cells, resulting in improved efficiency of biotinylation in vivo. We anticipate that the humanized BirA gene will find use in many applications that involve in vivo biotinylation.","author":[{"dropping-particle":"","family":"Mechold","given":"Undine","non-dropping-particle":"","parse-names":false,"suffix":""},{"dropping-particle":"","family":"Gilbert","given":"Cristele","non-dropping-particle":"","parse-names":false,"suffix":""},{"dropping-particle":"","family":"Ogryzko","given":"Vasily","non-dropping-particle":"","parse-names":false,"suffix":""}],"container-title":"Journal of biotechnology","id":"ITEM-1","issue":"3","issued":{"date-parts":[["2005","3","30"]]},"page":"245-9","title":"Codon optimization of the BirA enzyme gene leads to higher expression and an improved efficiency of biotinylation of target proteins in mammalian cells.","type":"article-journal","volume":"116"}}],"schema":"https://github.com/citation-style-language/schema/raw/master/csl-citation.json"} </w:instrText>
      </w:r>
      <w:r w:rsidR="000C771F" w:rsidRPr="00F01A00">
        <w:rPr>
          <w:rFonts w:ascii="Arial" w:hAnsi="Arial" w:cs="Arial"/>
          <w:sz w:val="22"/>
          <w:szCs w:val="22"/>
        </w:rPr>
        <w:fldChar w:fldCharType="separate"/>
      </w:r>
      <w:r w:rsidR="00AB3BB1" w:rsidRPr="00F01A00">
        <w:rPr>
          <w:rFonts w:ascii="Arial" w:hAnsi="Arial" w:cs="Arial"/>
          <w:noProof/>
          <w:sz w:val="22"/>
          <w:szCs w:val="22"/>
        </w:rPr>
        <w:t>[14]</w:t>
      </w:r>
      <w:r w:rsidR="000C771F" w:rsidRPr="00F01A00">
        <w:rPr>
          <w:rFonts w:ascii="Arial" w:hAnsi="Arial" w:cs="Arial"/>
          <w:sz w:val="22"/>
          <w:szCs w:val="22"/>
        </w:rPr>
        <w:fldChar w:fldCharType="end"/>
      </w:r>
      <w:r w:rsidRPr="00F01A00">
        <w:rPr>
          <w:rFonts w:ascii="Arial" w:hAnsi="Arial" w:cs="Arial"/>
          <w:sz w:val="22"/>
          <w:szCs w:val="22"/>
        </w:rPr>
        <w:t xml:space="preserve">. To this end, we developed a </w:t>
      </w:r>
      <w:r w:rsidR="000C771F" w:rsidRPr="00F01A00">
        <w:rPr>
          <w:rFonts w:ascii="Arial" w:hAnsi="Arial" w:cs="Arial"/>
          <w:sz w:val="22"/>
          <w:szCs w:val="22"/>
        </w:rPr>
        <w:t>Expi</w:t>
      </w:r>
      <w:r w:rsidRPr="00F01A00">
        <w:rPr>
          <w:rFonts w:ascii="Arial" w:hAnsi="Arial" w:cs="Arial"/>
          <w:sz w:val="22"/>
          <w:szCs w:val="22"/>
        </w:rPr>
        <w:t xml:space="preserve">293 cell line encoding a </w:t>
      </w:r>
      <w:proofErr w:type="spellStart"/>
      <w:r w:rsidRPr="00F01A00">
        <w:rPr>
          <w:rFonts w:ascii="Arial" w:hAnsi="Arial" w:cs="Arial"/>
          <w:sz w:val="22"/>
          <w:szCs w:val="22"/>
        </w:rPr>
        <w:t>BirA</w:t>
      </w:r>
      <w:proofErr w:type="spellEnd"/>
      <w:r w:rsidRPr="00F01A00">
        <w:rPr>
          <w:rFonts w:ascii="Arial" w:hAnsi="Arial" w:cs="Arial"/>
          <w:sz w:val="22"/>
          <w:szCs w:val="22"/>
        </w:rPr>
        <w:t xml:space="preserve"> </w:t>
      </w:r>
      <w:r w:rsidR="00964906" w:rsidRPr="00F01A00">
        <w:rPr>
          <w:rFonts w:ascii="Arial" w:hAnsi="Arial" w:cs="Arial"/>
          <w:sz w:val="22"/>
          <w:szCs w:val="22"/>
        </w:rPr>
        <w:t xml:space="preserve">biotin ligase </w:t>
      </w:r>
      <w:r w:rsidRPr="00F01A00">
        <w:rPr>
          <w:rFonts w:ascii="Arial" w:hAnsi="Arial" w:cs="Arial"/>
          <w:sz w:val="22"/>
          <w:szCs w:val="22"/>
        </w:rPr>
        <w:t>localized to the endoplas</w:t>
      </w:r>
      <w:r w:rsidR="00463268" w:rsidRPr="00F01A00">
        <w:rPr>
          <w:rFonts w:ascii="Arial" w:hAnsi="Arial" w:cs="Arial"/>
          <w:sz w:val="22"/>
          <w:szCs w:val="22"/>
        </w:rPr>
        <w:t>mic</w:t>
      </w:r>
      <w:r w:rsidRPr="00F01A00">
        <w:rPr>
          <w:rFonts w:ascii="Arial" w:hAnsi="Arial" w:cs="Arial"/>
          <w:sz w:val="22"/>
          <w:szCs w:val="22"/>
        </w:rPr>
        <w:t xml:space="preserve"> reticulum for </w:t>
      </w:r>
      <w:r w:rsidRPr="00F01A00">
        <w:rPr>
          <w:rFonts w:ascii="Arial" w:hAnsi="Arial" w:cs="Arial"/>
          <w:i/>
          <w:iCs/>
          <w:sz w:val="22"/>
          <w:szCs w:val="22"/>
        </w:rPr>
        <w:t>in vivo</w:t>
      </w:r>
      <w:r w:rsidRPr="00F01A00">
        <w:rPr>
          <w:rFonts w:ascii="Arial" w:hAnsi="Arial" w:cs="Arial"/>
          <w:sz w:val="22"/>
          <w:szCs w:val="22"/>
        </w:rPr>
        <w:t xml:space="preserve"> </w:t>
      </w:r>
      <w:proofErr w:type="spellStart"/>
      <w:r w:rsidRPr="00F01A00">
        <w:rPr>
          <w:rFonts w:ascii="Arial" w:hAnsi="Arial" w:cs="Arial"/>
          <w:sz w:val="22"/>
          <w:szCs w:val="22"/>
        </w:rPr>
        <w:t>biotinylation</w:t>
      </w:r>
      <w:proofErr w:type="spellEnd"/>
      <w:r w:rsidRPr="00F01A00">
        <w:rPr>
          <w:rFonts w:ascii="Arial" w:hAnsi="Arial" w:cs="Arial"/>
          <w:sz w:val="22"/>
          <w:szCs w:val="22"/>
        </w:rPr>
        <w:t xml:space="preserve"> of secreted proteins. </w:t>
      </w:r>
      <w:r w:rsidR="003E42E3" w:rsidRPr="00F01A00">
        <w:rPr>
          <w:rFonts w:ascii="Arial" w:hAnsi="Arial" w:cs="Arial"/>
          <w:sz w:val="22"/>
          <w:szCs w:val="22"/>
        </w:rPr>
        <w:t>We use this</w:t>
      </w:r>
      <w:r w:rsidRPr="00F01A00">
        <w:rPr>
          <w:rFonts w:ascii="Arial" w:hAnsi="Arial" w:cs="Arial"/>
          <w:sz w:val="22"/>
          <w:szCs w:val="22"/>
        </w:rPr>
        <w:t xml:space="preserve"> routinely for generation of antigens</w:t>
      </w:r>
      <w:r w:rsidR="00964906" w:rsidRPr="00F01A00">
        <w:rPr>
          <w:rFonts w:ascii="Arial" w:hAnsi="Arial" w:cs="Arial"/>
          <w:sz w:val="22"/>
          <w:szCs w:val="22"/>
        </w:rPr>
        <w:t xml:space="preserve"> as fully biotinylated secreted protein</w:t>
      </w:r>
      <w:r w:rsidRPr="00F01A00">
        <w:rPr>
          <w:rFonts w:ascii="Arial" w:hAnsi="Arial" w:cs="Arial"/>
          <w:sz w:val="22"/>
          <w:szCs w:val="22"/>
        </w:rPr>
        <w:t xml:space="preserve">. </w:t>
      </w:r>
      <w:r w:rsidR="00964906" w:rsidRPr="00F01A00">
        <w:rPr>
          <w:rFonts w:ascii="Arial" w:hAnsi="Arial" w:cs="Arial"/>
          <w:sz w:val="22"/>
          <w:szCs w:val="22"/>
        </w:rPr>
        <w:t>Furthermore, a</w:t>
      </w:r>
      <w:r w:rsidRPr="00F01A00">
        <w:rPr>
          <w:rFonts w:ascii="Arial" w:hAnsi="Arial" w:cs="Arial"/>
          <w:sz w:val="22"/>
          <w:szCs w:val="22"/>
        </w:rPr>
        <w:t xml:space="preserve"> tobacco etch virus (TEV) protease cleavage peptide</w:t>
      </w:r>
      <w:r w:rsidR="00F334B2" w:rsidRPr="00F01A00">
        <w:rPr>
          <w:rFonts w:ascii="Arial" w:hAnsi="Arial" w:cs="Arial"/>
        </w:rPr>
        <w:t xml:space="preserve"> </w:t>
      </w:r>
      <w:r w:rsidR="000C771F" w:rsidRPr="00F01A00">
        <w:rPr>
          <w:rFonts w:ascii="Arial" w:hAnsi="Arial" w:cs="Arial"/>
        </w:rPr>
        <w:fldChar w:fldCharType="begin" w:fldLock="1"/>
      </w:r>
      <w:r w:rsidR="00081E72" w:rsidRPr="00F01A00">
        <w:rPr>
          <w:rFonts w:ascii="Arial" w:hAnsi="Arial" w:cs="Arial"/>
        </w:rPr>
        <w:instrText xml:space="preserve"> ADDIN ZOTERO_ITEM CSL_CITATION {"citationID":"HDouRxo6","properties":{"formattedCitation":"[15]","plainCitation":"[15]","noteIndex":0},"citationItems":[{"id":"peimv2KQ/tL2EmSdJ","uris":["http://www.mendeley.com/documents/?uuid=b87f987c-7d59-469d-a123-d8fdd3cd287b"],"itemData":{"DOI":"10.1385/0-89603-485-2:169","ISSN":"1543-1894","PMID":"21390844","abstract":"In many cases, the analysis of a specific protein is impeded by the inability to purify large amounts of it from a native source. Proteins of interest may be present in minute quantities and/or purification may be plagued with technical problems. Recombinant DNA methodologies have enabled researchers to circumvent some of these limitations by producing and purifying large quantities of protein in a nonnative system. Various systems and strategies have been successfully employed, depending on the specific protein of interest and the desired use of the final end product (antibody production, crystallography studies etc.). This chapter reviews some common methods for the production of recombinant fusion proteins and specifically describes a versatrle method for the removal of affinity tags from recombinant fusions using a highly purified proteinase with an unparalleled degree of specificity. This proteinase, from the genome of tobacco etch virus (TEV), demonstrates specific proteolytic activity under a wide range of parameters (salt, temperature, pH), making it an excellent choice for cleavage of fusion proteins (1,2).","author":[{"dropping-particle":"","family":"Polayes","given":"D A","non-dropping-particle":"","parse-names":false,"suffix":""},{"dropping-particle":"","family":"Parks","given":"T D","non-dropping-particle":"","parse-names":false,"suffix":""},{"dropping-particle":"","family":"Johnston","given":"S A","non-dropping-particle":"","parse-names":false,"suffix":""},{"dropping-particle":"","family":"Dougherty","given":"W G","non-dropping-particle":"","parse-names":false,"suffix":""}],"container-title":"Methods in molecular medicine","id":"ITEM-1","issued":{"date-parts":[["1998"]]},"page":"169-83","title":"Application of TEV Protease in Protein Production.","type":"article-journal","volume":"13"}}],"schema":"https://github.com/citation-style-language/schema/raw/master/csl-citation.json"} </w:instrText>
      </w:r>
      <w:r w:rsidR="000C771F" w:rsidRPr="00F01A00">
        <w:rPr>
          <w:rFonts w:ascii="Arial" w:hAnsi="Arial" w:cs="Arial"/>
        </w:rPr>
        <w:fldChar w:fldCharType="separate"/>
      </w:r>
      <w:r w:rsidR="00AB3BB1" w:rsidRPr="00F01A00">
        <w:rPr>
          <w:rFonts w:ascii="Arial" w:hAnsi="Arial" w:cs="Arial"/>
          <w:noProof/>
        </w:rPr>
        <w:t>[15]</w:t>
      </w:r>
      <w:r w:rsidR="000C771F" w:rsidRPr="00F01A00">
        <w:rPr>
          <w:rFonts w:ascii="Arial" w:hAnsi="Arial" w:cs="Arial"/>
        </w:rPr>
        <w:fldChar w:fldCharType="end"/>
      </w:r>
      <w:r w:rsidRPr="00F01A00">
        <w:rPr>
          <w:rFonts w:ascii="Arial" w:hAnsi="Arial" w:cs="Arial"/>
          <w:sz w:val="22"/>
          <w:szCs w:val="22"/>
        </w:rPr>
        <w:t xml:space="preserve"> is incorporated between the antigen and Fc domain to facilitate selective release of antigen-bound </w:t>
      </w:r>
      <w:r w:rsidRPr="00F01A00">
        <w:rPr>
          <w:rFonts w:ascii="Arial" w:hAnsi="Arial" w:cs="Arial"/>
          <w:sz w:val="22"/>
          <w:szCs w:val="22"/>
        </w:rPr>
        <w:lastRenderedPageBreak/>
        <w:t xml:space="preserve">Fab-phage during selections. </w:t>
      </w:r>
      <w:r w:rsidR="00964906" w:rsidRPr="00F01A00">
        <w:rPr>
          <w:rFonts w:ascii="Arial" w:hAnsi="Arial" w:cs="Arial"/>
          <w:sz w:val="22"/>
          <w:szCs w:val="22"/>
        </w:rPr>
        <w:t>We have successfully used</w:t>
      </w:r>
      <w:r w:rsidR="00463268" w:rsidRPr="00F01A00">
        <w:rPr>
          <w:rFonts w:ascii="Arial" w:hAnsi="Arial" w:cs="Arial"/>
          <w:sz w:val="22"/>
          <w:szCs w:val="22"/>
        </w:rPr>
        <w:t xml:space="preserve"> this approach </w:t>
      </w:r>
      <w:r w:rsidR="00964906" w:rsidRPr="00F01A00">
        <w:rPr>
          <w:rFonts w:ascii="Arial" w:hAnsi="Arial" w:cs="Arial"/>
          <w:sz w:val="22"/>
          <w:szCs w:val="22"/>
        </w:rPr>
        <w:t xml:space="preserve">to </w:t>
      </w:r>
      <w:r w:rsidRPr="00F01A00">
        <w:rPr>
          <w:rFonts w:ascii="Arial" w:hAnsi="Arial" w:cs="Arial"/>
          <w:sz w:val="22"/>
          <w:szCs w:val="22"/>
        </w:rPr>
        <w:t>generate Fc-fusion expression constructs</w:t>
      </w:r>
      <w:r w:rsidR="00463268" w:rsidRPr="00F01A00">
        <w:rPr>
          <w:rFonts w:ascii="Arial" w:hAnsi="Arial" w:cs="Arial"/>
          <w:sz w:val="22"/>
          <w:szCs w:val="22"/>
        </w:rPr>
        <w:t xml:space="preserve"> for</w:t>
      </w:r>
      <w:r w:rsidRPr="00F01A00">
        <w:rPr>
          <w:rFonts w:ascii="Arial" w:hAnsi="Arial" w:cs="Arial"/>
          <w:sz w:val="22"/>
          <w:szCs w:val="22"/>
        </w:rPr>
        <w:t xml:space="preserve"> </w:t>
      </w:r>
      <w:r w:rsidR="0005073A" w:rsidRPr="00F01A00">
        <w:rPr>
          <w:rFonts w:ascii="Arial" w:hAnsi="Arial" w:cs="Arial"/>
          <w:sz w:val="22"/>
          <w:szCs w:val="22"/>
        </w:rPr>
        <w:t>se</w:t>
      </w:r>
      <w:r w:rsidR="00C66110" w:rsidRPr="00F01A00">
        <w:rPr>
          <w:rFonts w:ascii="Arial" w:hAnsi="Arial" w:cs="Arial"/>
          <w:sz w:val="22"/>
          <w:szCs w:val="22"/>
        </w:rPr>
        <w:t>v</w:t>
      </w:r>
      <w:r w:rsidR="0005073A" w:rsidRPr="00F01A00">
        <w:rPr>
          <w:rFonts w:ascii="Arial" w:hAnsi="Arial" w:cs="Arial"/>
          <w:sz w:val="22"/>
          <w:szCs w:val="22"/>
        </w:rPr>
        <w:t>eral</w:t>
      </w:r>
      <w:r w:rsidR="003E42E3" w:rsidRPr="00F01A00">
        <w:rPr>
          <w:rFonts w:ascii="Arial" w:hAnsi="Arial" w:cs="Arial"/>
          <w:sz w:val="22"/>
          <w:szCs w:val="22"/>
        </w:rPr>
        <w:t xml:space="preserve"> hundred</w:t>
      </w:r>
      <w:r w:rsidR="0005073A" w:rsidRPr="00F01A00">
        <w:rPr>
          <w:rFonts w:ascii="Arial" w:hAnsi="Arial" w:cs="Arial"/>
          <w:sz w:val="22"/>
          <w:szCs w:val="22"/>
        </w:rPr>
        <w:t>s of</w:t>
      </w:r>
      <w:r w:rsidR="003E42E3" w:rsidRPr="00F01A00">
        <w:rPr>
          <w:rFonts w:ascii="Arial" w:hAnsi="Arial" w:cs="Arial"/>
          <w:sz w:val="22"/>
          <w:szCs w:val="22"/>
        </w:rPr>
        <w:t xml:space="preserve"> different</w:t>
      </w:r>
      <w:r w:rsidRPr="00F01A00">
        <w:rPr>
          <w:rFonts w:ascii="Arial" w:hAnsi="Arial" w:cs="Arial"/>
          <w:sz w:val="22"/>
          <w:szCs w:val="22"/>
        </w:rPr>
        <w:t xml:space="preserve"> extracellular domains</w:t>
      </w:r>
      <w:r w:rsidR="003E42E3" w:rsidRPr="00F01A00">
        <w:rPr>
          <w:rFonts w:ascii="Arial" w:hAnsi="Arial" w:cs="Arial"/>
          <w:sz w:val="22"/>
          <w:szCs w:val="22"/>
        </w:rPr>
        <w:t xml:space="preserve"> as exemplified for </w:t>
      </w:r>
      <w:r w:rsidRPr="00F01A00">
        <w:rPr>
          <w:rFonts w:ascii="Arial" w:hAnsi="Arial" w:cs="Arial"/>
          <w:sz w:val="22"/>
          <w:szCs w:val="22"/>
        </w:rPr>
        <w:t>candidate K-RAS</w:t>
      </w:r>
      <w:r w:rsidR="00964906" w:rsidRPr="00F01A00">
        <w:rPr>
          <w:rFonts w:ascii="Arial" w:hAnsi="Arial" w:cs="Arial"/>
          <w:sz w:val="22"/>
          <w:szCs w:val="22"/>
        </w:rPr>
        <w:t xml:space="preserve"> and </w:t>
      </w:r>
      <w:r w:rsidR="00FD15D6" w:rsidRPr="00F01A00">
        <w:rPr>
          <w:rFonts w:ascii="Arial" w:hAnsi="Arial" w:cs="Arial"/>
          <w:sz w:val="22"/>
          <w:szCs w:val="22"/>
        </w:rPr>
        <w:t>MYC</w:t>
      </w:r>
      <w:r w:rsidRPr="00F01A00">
        <w:rPr>
          <w:rFonts w:ascii="Arial" w:hAnsi="Arial" w:cs="Arial"/>
          <w:sz w:val="22"/>
          <w:szCs w:val="22"/>
        </w:rPr>
        <w:t xml:space="preserve">-induced surface markers </w:t>
      </w:r>
      <w:r w:rsidR="00E463B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{"citationID":"PPSFIJOZ","properties":{"formattedCitation":"[2], [8]","plainCitation":"[2], [8]","noteIndex":0},"citationItems":[{"id":"peimv2KQ/VihWpazF","uris":["http://www.mendeley.com/documents/?uuid=0a03aa3a-d388-46bb-ac9d-77a8cdfeb18d"],"itemData":{"DOI":"10.7554/eLife.31098","ISSN":"2050-084X","PMID":"29359686","abstract":"&lt;p&gt;While there have been tremendous efforts to target oncogenic RAS signaling from inside the cell, little effort has focused on the cell-surface. Here, we used quantitative surface proteomics to reveal a signature of proteins that are upregulated on cells transformed with KRASG12V, and driven by MAPK pathway signaling. We next generated a toolkit of recombinant antibodies to seven of these RAS induced proteins. We found that five of these proteins are broadly distributed on cancer cell lines harboring RAS mutations. In parallel, a cell-surface CRISPRi screen identified integrin and Wnt signaling proteins as critical to RAS transformed cells. We show that antibodies targeting CDCP1, a protein common to our proteomics and CRISPRi datasets, can be leveraged to deliver cytotoxic and immunotherapeutic payloads to RAS transformed cancer cells and report for RAS signaling status in vivo. Taken together, this work presents a technological platform for attacking RAS from outside the cell.&lt;/p&gt;","author":[{"dropping-particle":"","family":"Martinko","given":"Alexander John","non-dropping-particle":"","parse-names":false,"suffix":""},{"dropping-particle":"","family":"Truillet","given":"Charles","non-dropping-particle":"","parse-names":false,"suffix":""},{"dropping-particle":"","family":"Julien","given":"Olivier","non-dropping-particle":"","parse-names":false,"suffix":""},{"dropping-particle":"","family":"Diaz","given":"Juan","non-dropping-particle":"","parse-names":false,"suffix":""},{"dropping-particle":"","family":"Horlbeck","given":"Max A","non-dropping-particle":"","parse-names":false,"suffix":""},{"dropping-particle":"","family":"Whiteley","given":"Gordon","non-dropping-particle":"","parse-names":false,"suffix":""},{"dropping-particle":"","family":"Blonder","given":"Josip","non-dropping-particle":"","parse-names":false,"suffix":""},{"dropping-particle":"","family":"Weissman","given":"Jonathan S","non-dropping-particle":"","parse-names":false,"suffix":""},{"dropping-particle":"","family":"Bandyopadhyay","given":"Sourav","non-dropping-particle":"","parse-names":false,"suffix":""},{"dropping-particle":"","family":"Evans","given":"Michael","non-dropping-particle":"","parse-names":false,"suffix":""},{"dropping-particle":"","family":"Wells","given":"James A","non-dropping-particle":"","parse-names":false,"suffix":""}],"container-title":"eLife","id":"ITEM-1","issued":{"date-parts":[["2018"]]},"page":"e31098","title":"Targeting RAS driven human cancer cells with antibodies to upregulated and essential cell-surface proteins","type":"article-journal","volume":"7"}},{"id":"peimv2KQ/EDEym1IK","uris":["http://www.mendeley.com/documents/?uuid=cb512bb3-0980-3030-9b4c-4c9f3f08015c"],"itemData":{"DOI":"10.1073/pnas.2018861118","ISSN":"1091-6490","PMID":"33483421","abstract":"MYC is a powerful transcription factor overexpressed in many human cancers including B cell and prostate cancers. Antibody therapeutics are exciting opportunities to attack cancers but require knowledge of surface proteins that change due to oncogene expression. To identify how MYC overexpression remodels the cell surface proteome in a cell autologous fashion and in different cell types, we investigated the impact of MYC overexpression on 800 surface proteins in three isogenic model cell lines either of B cell or prostate cell origin engineered to have high or low MYC levels. We found that MYC overexpression resulted in dramatic remodeling (both up- and down-regulation) of the cell surfaceome in a cell type-dependent fashion. We found systematic and large increases in distinct sets of &gt;80 transporters including nucleoside transporters and nutrient transporters making cells more sensitive to toxic nucleoside analogs like cytarabine, commonly used for treating hematological cancers. Paradoxically, MYC overexpression also increased expression of surface proteins driving cell turnover such as TNFRSF10B, also known as death receptor 5, and immune cell attacking signals such as the natural killer cell activating ligand NCR3LG1, also known as B7-H6. We generated recombinant antibodies to these two targets and verified their up-regulation in MYC overexpression cell lines and showed they were sensitive to bispecific T cell engagers (BiTEs). Our studies demonstrate how MYC overexpression leads to dramatic bidirectional remodeling of the surfaceome in a cell type-dependent but functionally convergent fashion and identify surface targets or combinations thereof as possible candidates for cytotoxic metabolite or immunotherapy.","author":[{"dropping-particle":"","family":"Chen","given":"Wentao","non-dropping-particle":"","parse-names":false,"suffix":""},{"dropping-particle":"","family":"Mou","given":"Kurt Yun","non-dropping-particle":"","parse-names":false,"suffix":""},{"dropping-particle":"","family":"Solomon","given":"Paige","non-dropping-particle":"","parse-names":false,"suffix":""},{"dropping-particle":"","family":"Aggarwal","given":"Rahul","non-dropping-particle":"","parse-names":false,"suffix":""},{"dropping-particle":"","family":"Leung","given":"Kevin K","non-dropping-particle":"","parse-names":false,"suffix":""},{"dropping-particle":"","family":"Wells","given":"James A","non-dropping-particle":"","parse-names":false,"suffix":""}],"container-title":"Proceedings of the National Academy of Sciences of the United States of America","id":"ITEM-2","issue":"4","issued":{"date-parts":[["2021","1","26"]]},"page":"28046-28055","publisher":"National Academy of Sciences","title":"Large remodeling of the Myc-induced cell surface proteome in B cells and prostate cells creates new opportunities for immunotherapy.","type":"article-journal","volume":"118"}}],"schema":"https://github.com/citation-style-language/schema/raw/master/csl-citation.json"} </w:instrText>
      </w:r>
      <w:r w:rsidR="00E463BA" w:rsidRPr="00F01A00">
        <w:rPr>
          <w:rFonts w:ascii="Arial" w:hAnsi="Arial" w:cs="Arial"/>
          <w:sz w:val="22"/>
          <w:szCs w:val="22"/>
        </w:rPr>
        <w:fldChar w:fldCharType="separate"/>
      </w:r>
      <w:r w:rsidR="00AB3BB1" w:rsidRPr="00F01A00">
        <w:rPr>
          <w:rFonts w:ascii="Arial" w:hAnsi="Arial" w:cs="Arial"/>
          <w:noProof/>
          <w:sz w:val="22"/>
          <w:szCs w:val="22"/>
        </w:rPr>
        <w:t>[2], [8]</w:t>
      </w:r>
      <w:r w:rsidR="00E463BA" w:rsidRPr="00F01A00">
        <w:rPr>
          <w:rFonts w:ascii="Arial" w:hAnsi="Arial" w:cs="Arial"/>
          <w:sz w:val="22"/>
          <w:szCs w:val="22"/>
        </w:rPr>
        <w:fldChar w:fldCharType="end"/>
      </w:r>
      <w:r w:rsidRPr="00F01A00">
        <w:rPr>
          <w:rFonts w:ascii="Arial" w:hAnsi="Arial" w:cs="Arial"/>
          <w:sz w:val="22"/>
          <w:szCs w:val="22"/>
        </w:rPr>
        <w:t>. We confirm the purity of the resulting Fc-fusion proteins by gel electrophoresis (</w:t>
      </w:r>
      <w:r w:rsidRPr="00F01A00">
        <w:rPr>
          <w:rFonts w:ascii="Arial" w:hAnsi="Arial" w:cs="Arial"/>
          <w:b/>
          <w:sz w:val="22"/>
          <w:szCs w:val="22"/>
        </w:rPr>
        <w:t xml:space="preserve">Figure </w:t>
      </w:r>
      <w:r w:rsidR="004656D7" w:rsidRPr="00F01A00">
        <w:rPr>
          <w:rFonts w:ascii="Arial" w:hAnsi="Arial" w:cs="Arial"/>
          <w:b/>
          <w:sz w:val="22"/>
          <w:szCs w:val="22"/>
        </w:rPr>
        <w:t>6</w:t>
      </w:r>
      <w:r w:rsidRPr="00F01A00">
        <w:rPr>
          <w:rFonts w:ascii="Arial" w:hAnsi="Arial" w:cs="Arial"/>
          <w:b/>
          <w:sz w:val="22"/>
          <w:szCs w:val="22"/>
        </w:rPr>
        <w:t>B</w:t>
      </w:r>
      <w:r w:rsidRPr="00F01A00">
        <w:rPr>
          <w:rFonts w:ascii="Arial" w:hAnsi="Arial" w:cs="Arial"/>
          <w:sz w:val="22"/>
          <w:szCs w:val="22"/>
        </w:rPr>
        <w:t>)</w:t>
      </w:r>
      <w:r w:rsidR="00FF6CB0" w:rsidRPr="00F01A00">
        <w:rPr>
          <w:rFonts w:ascii="Arial" w:hAnsi="Arial" w:cs="Arial"/>
          <w:sz w:val="22"/>
          <w:szCs w:val="22"/>
        </w:rPr>
        <w:t>.</w:t>
      </w:r>
      <w:r w:rsidRPr="00F01A00">
        <w:rPr>
          <w:rFonts w:ascii="Arial" w:hAnsi="Arial" w:cs="Arial"/>
          <w:sz w:val="22"/>
          <w:szCs w:val="22"/>
        </w:rPr>
        <w:t xml:space="preserve"> </w:t>
      </w:r>
      <w:r w:rsidR="00463268" w:rsidRPr="00F01A00">
        <w:rPr>
          <w:rFonts w:ascii="Arial" w:hAnsi="Arial" w:cs="Arial"/>
          <w:sz w:val="22"/>
          <w:szCs w:val="22"/>
        </w:rPr>
        <w:t>T</w:t>
      </w:r>
      <w:r w:rsidR="003356FB" w:rsidRPr="00F01A00">
        <w:rPr>
          <w:rFonts w:ascii="Arial" w:hAnsi="Arial" w:cs="Arial"/>
          <w:sz w:val="22"/>
          <w:szCs w:val="22"/>
        </w:rPr>
        <w:t>h</w:t>
      </w:r>
      <w:r w:rsidRPr="00F01A00">
        <w:rPr>
          <w:rFonts w:ascii="Arial" w:hAnsi="Arial" w:cs="Arial"/>
          <w:sz w:val="22"/>
          <w:szCs w:val="22"/>
        </w:rPr>
        <w:t xml:space="preserve">ese proteins are produced </w:t>
      </w:r>
      <w:r w:rsidR="00463268" w:rsidRPr="00F01A00">
        <w:rPr>
          <w:rFonts w:ascii="Arial" w:hAnsi="Arial" w:cs="Arial"/>
          <w:sz w:val="22"/>
          <w:szCs w:val="22"/>
        </w:rPr>
        <w:t xml:space="preserve">routinely </w:t>
      </w:r>
      <w:r w:rsidRPr="00F01A00">
        <w:rPr>
          <w:rFonts w:ascii="Arial" w:hAnsi="Arial" w:cs="Arial"/>
          <w:sz w:val="22"/>
          <w:szCs w:val="22"/>
        </w:rPr>
        <w:t>at high yield (~10µg per mL of culture), and can be produced in parallel.</w:t>
      </w:r>
    </w:p>
    <w:p w14:paraId="1F166FDD" w14:textId="4DE7C4A9" w:rsidR="005E023A" w:rsidRPr="00F01A00" w:rsidRDefault="002965F1" w:rsidP="00AB2151">
      <w:pPr>
        <w:jc w:val="both"/>
        <w:rPr>
          <w:rFonts w:ascii="Arial" w:hAnsi="Arial" w:cs="Arial"/>
          <w:sz w:val="22"/>
          <w:szCs w:val="22"/>
        </w:rPr>
      </w:pPr>
      <w:r w:rsidRPr="00F01A00">
        <w:rPr>
          <w:rFonts w:ascii="Arial" w:hAnsi="Arial" w:cs="Arial"/>
          <w:noProof/>
        </w:rPr>
        <mc:AlternateContent>
          <mc:Choice Requires="wps">
            <w:drawing>
              <wp:anchor distT="0" distB="0" distL="114300" distR="114300" simplePos="0" relativeHeight="251684864" behindDoc="0" locked="0" layoutInCell="1" allowOverlap="1" wp14:anchorId="53FDE984" wp14:editId="5B66DE2E">
                <wp:simplePos x="0" y="0"/>
                <wp:positionH relativeFrom="margin">
                  <wp:align>right</wp:align>
                </wp:positionH>
                <wp:positionV relativeFrom="margin">
                  <wp:align>bottom</wp:align>
                </wp:positionV>
                <wp:extent cx="1930400" cy="4099560"/>
                <wp:effectExtent l="0" t="0" r="12700" b="15240"/>
                <wp:wrapSquare wrapText="bothSides"/>
                <wp:docPr id="23" name="Text Box 23"/>
                <wp:cNvGraphicFramePr/>
                <a:graphic xmlns:a="http://schemas.openxmlformats.org/drawingml/2006/main">
                  <a:graphicData uri="http://schemas.microsoft.com/office/word/2010/wordprocessingShape">
                    <wps:wsp>
                      <wps:cNvSpPr txBox="1"/>
                      <wps:spPr>
                        <a:xfrm>
                          <a:off x="0" y="0"/>
                          <a:ext cx="1930400" cy="409956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A1E39D" w14:textId="77777777" w:rsidR="005C2975" w:rsidRPr="003423A1" w:rsidRDefault="005C2975" w:rsidP="005E023A">
                            <w:pPr>
                              <w:rPr>
                                <w:sz w:val="18"/>
                                <w:szCs w:val="18"/>
                              </w:rPr>
                            </w:pPr>
                            <w:r w:rsidRPr="003423A1">
                              <w:rPr>
                                <w:noProof/>
                                <w:sz w:val="18"/>
                                <w:szCs w:val="18"/>
                              </w:rPr>
                              <w:drawing>
                                <wp:inline distT="0" distB="0" distL="0" distR="0" wp14:anchorId="65180D92" wp14:editId="7E5B7F58">
                                  <wp:extent cx="1746250" cy="30391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_Platform_Figure2.png"/>
                                          <pic:cNvPicPr/>
                                        </pic:nvPicPr>
                                        <pic:blipFill rotWithShape="1">
                                          <a:blip r:embed="rId10">
                                            <a:extLst>
                                              <a:ext uri="{28A0092B-C50C-407E-A947-70E740481C1C}">
                                                <a14:useLocalDpi xmlns:a14="http://schemas.microsoft.com/office/drawing/2010/main" val="0"/>
                                              </a:ext>
                                            </a:extLst>
                                          </a:blip>
                                          <a:srcRect r="54252"/>
                                          <a:stretch/>
                                        </pic:blipFill>
                                        <pic:spPr bwMode="auto">
                                          <a:xfrm>
                                            <a:off x="0" y="0"/>
                                            <a:ext cx="1746492" cy="3039532"/>
                                          </a:xfrm>
                                          <a:prstGeom prst="rect">
                                            <a:avLst/>
                                          </a:prstGeom>
                                          <a:ln>
                                            <a:noFill/>
                                          </a:ln>
                                          <a:extLst>
                                            <a:ext uri="{53640926-AAD7-44D8-BBD7-CCE9431645EC}">
                                              <a14:shadowObscured xmlns:a14="http://schemas.microsoft.com/office/drawing/2010/main"/>
                                            </a:ext>
                                          </a:extLst>
                                        </pic:spPr>
                                      </pic:pic>
                                    </a:graphicData>
                                  </a:graphic>
                                </wp:inline>
                              </w:drawing>
                            </w:r>
                          </w:p>
                          <w:p w14:paraId="67A5AC7D" w14:textId="77777777" w:rsidR="005C2975" w:rsidRPr="003423A1" w:rsidRDefault="005C2975" w:rsidP="005E023A">
                            <w:pPr>
                              <w:jc w:val="both"/>
                              <w:rPr>
                                <w:rFonts w:ascii="Arial" w:hAnsi="Arial" w:cs="Arial"/>
                                <w:b/>
                                <w:sz w:val="18"/>
                                <w:szCs w:val="18"/>
                              </w:rPr>
                            </w:pPr>
                          </w:p>
                          <w:p w14:paraId="59D728ED" w14:textId="5446278D" w:rsidR="005C2975" w:rsidRPr="003423A1" w:rsidRDefault="000157B2" w:rsidP="005E023A">
                            <w:pPr>
                              <w:pStyle w:val="Caption"/>
                              <w:jc w:val="both"/>
                              <w:rPr>
                                <w:rFonts w:ascii="Arial" w:eastAsia="Times New Roman" w:hAnsi="Arial" w:cs="Arial"/>
                                <w:b/>
                                <w:i w:val="0"/>
                                <w:iCs w:val="0"/>
                                <w:noProof/>
                                <w:color w:val="auto"/>
                                <w:sz w:val="20"/>
                                <w:szCs w:val="20"/>
                              </w:rPr>
                            </w:pPr>
                            <w:r>
                              <w:rPr>
                                <w:rFonts w:ascii="Arial" w:hAnsi="Arial" w:cs="Arial"/>
                                <w:b/>
                                <w:i w:val="0"/>
                                <w:iCs w:val="0"/>
                                <w:color w:val="auto"/>
                                <w:sz w:val="20"/>
                                <w:szCs w:val="20"/>
                              </w:rPr>
                              <w:t xml:space="preserve">Figure </w:t>
                            </w:r>
                            <w:r w:rsidR="004656D7">
                              <w:rPr>
                                <w:rFonts w:ascii="Arial" w:hAnsi="Arial" w:cs="Arial"/>
                                <w:b/>
                                <w:i w:val="0"/>
                                <w:iCs w:val="0"/>
                                <w:color w:val="auto"/>
                                <w:sz w:val="20"/>
                                <w:szCs w:val="20"/>
                              </w:rPr>
                              <w:t>6</w:t>
                            </w:r>
                            <w:r w:rsidR="005C2975" w:rsidRPr="00C10D47">
                              <w:rPr>
                                <w:rFonts w:ascii="Arial" w:hAnsi="Arial" w:cs="Arial"/>
                                <w:b/>
                                <w:i w:val="0"/>
                                <w:iCs w:val="0"/>
                                <w:color w:val="auto"/>
                                <w:sz w:val="20"/>
                                <w:szCs w:val="20"/>
                              </w:rPr>
                              <w:t>:</w:t>
                            </w:r>
                            <w:r w:rsidR="005C2975" w:rsidRPr="003423A1">
                              <w:rPr>
                                <w:rFonts w:ascii="Arial" w:hAnsi="Arial" w:cs="Arial"/>
                                <w:i w:val="0"/>
                                <w:iCs w:val="0"/>
                                <w:color w:val="auto"/>
                                <w:sz w:val="20"/>
                                <w:szCs w:val="20"/>
                              </w:rPr>
                              <w:t xml:space="preserve"> </w:t>
                            </w:r>
                            <w:r w:rsidR="005C2975" w:rsidRPr="00C10D47">
                              <w:rPr>
                                <w:rFonts w:ascii="Arial" w:hAnsi="Arial" w:cs="Arial"/>
                                <w:i w:val="0"/>
                                <w:iCs w:val="0"/>
                                <w:color w:val="auto"/>
                              </w:rPr>
                              <w:t>Antigen expression methods and preliminary data. (A) Schematic of the Fc-fusion expression construct. (B) Representative gel of purified Fc-fusion antigens.</w:t>
                            </w:r>
                          </w:p>
                          <w:p w14:paraId="2E49ED0E" w14:textId="77777777" w:rsidR="005C2975" w:rsidRPr="003423A1" w:rsidRDefault="005C2975" w:rsidP="005E023A">
                            <w:pPr>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DE984" id="Text Box 23" o:spid="_x0000_s1055" type="#_x0000_t202" style="position:absolute;left:0;text-align:left;margin-left:100.8pt;margin-top:0;width:152pt;height:322.8pt;z-index:2516848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" filled="f" strokecolor="black [3213]">
                <v:textbox>
                  <w:txbxContent>
                    <w:p w14:paraId="12A1E39D" w14:textId="77777777" w:rsidR="005C2975" w:rsidRPr="003423A1" w:rsidRDefault="005C2975" w:rsidP="005E023A">
                      <w:pPr>
                        <w:rPr>
                          <w:sz w:val="18"/>
                          <w:szCs w:val="18"/>
                        </w:rPr>
                      </w:pPr>
                      <w:r w:rsidRPr="003423A1">
                        <w:rPr>
                          <w:noProof/>
                          <w:sz w:val="18"/>
                          <w:szCs w:val="18"/>
                        </w:rPr>
                        <w:drawing>
                          <wp:inline distT="0" distB="0" distL="0" distR="0" wp14:anchorId="65180D92" wp14:editId="7E5B7F58">
                            <wp:extent cx="1746250" cy="30391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_Platform_Figure2.png"/>
                                    <pic:cNvPicPr/>
                                  </pic:nvPicPr>
                                  <pic:blipFill rotWithShape="1">
                                    <a:blip r:embed="rId31">
                                      <a:extLst>
                                        <a:ext uri="{28A0092B-C50C-407E-A947-70E740481C1C}">
                                          <a14:useLocalDpi xmlns:a14="http://schemas.microsoft.com/office/drawing/2010/main" val="0"/>
                                        </a:ext>
                                      </a:extLst>
                                    </a:blip>
                                    <a:srcRect r="54252"/>
                                    <a:stretch/>
                                  </pic:blipFill>
                                  <pic:spPr bwMode="auto">
                                    <a:xfrm>
                                      <a:off x="0" y="0"/>
                                      <a:ext cx="1746492" cy="3039532"/>
                                    </a:xfrm>
                                    <a:prstGeom prst="rect">
                                      <a:avLst/>
                                    </a:prstGeom>
                                    <a:ln>
                                      <a:noFill/>
                                    </a:ln>
                                    <a:extLst>
                                      <a:ext uri="{53640926-AAD7-44D8-BBD7-CCE9431645EC}">
                                        <a14:shadowObscured xmlns:a14="http://schemas.microsoft.com/office/drawing/2010/main"/>
                                      </a:ext>
                                    </a:extLst>
                                  </pic:spPr>
                                </pic:pic>
                              </a:graphicData>
                            </a:graphic>
                          </wp:inline>
                        </w:drawing>
                      </w:r>
                    </w:p>
                    <w:p w14:paraId="67A5AC7D" w14:textId="77777777" w:rsidR="005C2975" w:rsidRPr="003423A1" w:rsidRDefault="005C2975" w:rsidP="005E023A">
                      <w:pPr>
                        <w:jc w:val="both"/>
                        <w:rPr>
                          <w:rFonts w:ascii="Arial" w:hAnsi="Arial" w:cs="Arial"/>
                          <w:b/>
                          <w:sz w:val="18"/>
                          <w:szCs w:val="18"/>
                        </w:rPr>
                      </w:pPr>
                    </w:p>
                    <w:p w14:paraId="59D728ED" w14:textId="5446278D" w:rsidR="005C2975" w:rsidRPr="003423A1" w:rsidRDefault="000157B2" w:rsidP="005E023A">
                      <w:pPr>
                        <w:pStyle w:val="Caption"/>
                        <w:jc w:val="both"/>
                        <w:rPr>
                          <w:rFonts w:ascii="Arial" w:eastAsia="Times New Roman" w:hAnsi="Arial" w:cs="Arial"/>
                          <w:b/>
                          <w:i w:val="0"/>
                          <w:iCs w:val="0"/>
                          <w:noProof/>
                          <w:color w:val="auto"/>
                          <w:sz w:val="20"/>
                          <w:szCs w:val="20"/>
                        </w:rPr>
                      </w:pPr>
                      <w:r>
                        <w:rPr>
                          <w:rFonts w:ascii="Arial" w:hAnsi="Arial" w:cs="Arial"/>
                          <w:b/>
                          <w:i w:val="0"/>
                          <w:iCs w:val="0"/>
                          <w:color w:val="auto"/>
                          <w:sz w:val="20"/>
                          <w:szCs w:val="20"/>
                        </w:rPr>
                        <w:t xml:space="preserve">Figure </w:t>
                      </w:r>
                      <w:r w:rsidR="004656D7">
                        <w:rPr>
                          <w:rFonts w:ascii="Arial" w:hAnsi="Arial" w:cs="Arial"/>
                          <w:b/>
                          <w:i w:val="0"/>
                          <w:iCs w:val="0"/>
                          <w:color w:val="auto"/>
                          <w:sz w:val="20"/>
                          <w:szCs w:val="20"/>
                        </w:rPr>
                        <w:t>6</w:t>
                      </w:r>
                      <w:r w:rsidR="005C2975" w:rsidRPr="00C10D47">
                        <w:rPr>
                          <w:rFonts w:ascii="Arial" w:hAnsi="Arial" w:cs="Arial"/>
                          <w:b/>
                          <w:i w:val="0"/>
                          <w:iCs w:val="0"/>
                          <w:color w:val="auto"/>
                          <w:sz w:val="20"/>
                          <w:szCs w:val="20"/>
                        </w:rPr>
                        <w:t>:</w:t>
                      </w:r>
                      <w:r w:rsidR="005C2975" w:rsidRPr="003423A1">
                        <w:rPr>
                          <w:rFonts w:ascii="Arial" w:hAnsi="Arial" w:cs="Arial"/>
                          <w:i w:val="0"/>
                          <w:iCs w:val="0"/>
                          <w:color w:val="auto"/>
                          <w:sz w:val="20"/>
                          <w:szCs w:val="20"/>
                        </w:rPr>
                        <w:t xml:space="preserve"> </w:t>
                      </w:r>
                      <w:r w:rsidR="005C2975" w:rsidRPr="00C10D47">
                        <w:rPr>
                          <w:rFonts w:ascii="Arial" w:hAnsi="Arial" w:cs="Arial"/>
                          <w:i w:val="0"/>
                          <w:iCs w:val="0"/>
                          <w:color w:val="auto"/>
                        </w:rPr>
                        <w:t>Antigen expression methods and preliminary data. (A) Schematic of the Fc-fusion expression construct. (B) Representative gel of purified Fc-fusion antigens.</w:t>
                      </w:r>
                    </w:p>
                    <w:p w14:paraId="2E49ED0E" w14:textId="77777777" w:rsidR="005C2975" w:rsidRPr="003423A1" w:rsidRDefault="005C2975" w:rsidP="005E023A">
                      <w:pPr>
                        <w:jc w:val="both"/>
                        <w:rPr>
                          <w:sz w:val="18"/>
                          <w:szCs w:val="18"/>
                        </w:rPr>
                      </w:pPr>
                    </w:p>
                  </w:txbxContent>
                </v:textbox>
                <w10:wrap type="square" anchorx="margin" anchory="margin"/>
              </v:shape>
            </w:pict>
          </mc:Fallback>
        </mc:AlternateContent>
      </w:r>
      <w:r w:rsidR="005E023A" w:rsidRPr="00F01A00">
        <w:rPr>
          <w:rFonts w:ascii="Arial" w:hAnsi="Arial" w:cs="Arial"/>
          <w:sz w:val="22"/>
          <w:szCs w:val="22"/>
        </w:rPr>
        <w:tab/>
      </w:r>
      <w:r w:rsidR="005E023A" w:rsidRPr="00F01A00">
        <w:rPr>
          <w:rFonts w:ascii="Arial" w:hAnsi="Arial" w:cs="Arial"/>
          <w:b/>
          <w:bCs/>
          <w:i/>
          <w:sz w:val="22"/>
          <w:szCs w:val="22"/>
        </w:rPr>
        <w:t>ii.</w:t>
      </w:r>
      <w:r w:rsidR="005E023A" w:rsidRPr="00F01A00">
        <w:rPr>
          <w:rFonts w:ascii="Arial" w:hAnsi="Arial" w:cs="Arial"/>
          <w:b/>
          <w:bCs/>
          <w:sz w:val="22"/>
          <w:szCs w:val="22"/>
        </w:rPr>
        <w:t xml:space="preserve"> </w:t>
      </w:r>
      <w:r w:rsidR="005E023A" w:rsidRPr="00F01A00">
        <w:rPr>
          <w:rFonts w:ascii="Arial" w:hAnsi="Arial" w:cs="Arial"/>
          <w:b/>
          <w:bCs/>
          <w:i/>
          <w:sz w:val="22"/>
          <w:szCs w:val="22"/>
        </w:rPr>
        <w:t>phage</w:t>
      </w:r>
      <w:r w:rsidR="004D517F" w:rsidRPr="00F01A00">
        <w:rPr>
          <w:rFonts w:ascii="Arial" w:hAnsi="Arial" w:cs="Arial"/>
          <w:b/>
          <w:bCs/>
          <w:i/>
          <w:sz w:val="22"/>
          <w:szCs w:val="22"/>
        </w:rPr>
        <w:t xml:space="preserve"> display</w:t>
      </w:r>
      <w:r w:rsidR="005E023A" w:rsidRPr="00F01A00">
        <w:rPr>
          <w:rFonts w:ascii="Arial" w:hAnsi="Arial" w:cs="Arial"/>
          <w:b/>
          <w:bCs/>
          <w:i/>
          <w:sz w:val="22"/>
          <w:szCs w:val="22"/>
        </w:rPr>
        <w:t xml:space="preserve"> selection scheme.</w:t>
      </w:r>
      <w:r w:rsidR="005E023A" w:rsidRPr="00F01A00">
        <w:rPr>
          <w:rFonts w:ascii="Arial" w:hAnsi="Arial" w:cs="Arial"/>
          <w:i/>
          <w:sz w:val="22"/>
          <w:szCs w:val="22"/>
        </w:rPr>
        <w:t xml:space="preserve"> </w:t>
      </w:r>
      <w:r w:rsidR="005E023A" w:rsidRPr="00F01A00">
        <w:rPr>
          <w:rFonts w:ascii="Arial" w:hAnsi="Arial" w:cs="Arial"/>
          <w:sz w:val="22"/>
          <w:szCs w:val="22"/>
        </w:rPr>
        <w:t>For antibody selection, we employ our robotic phage display platform to generate and initially validate the recombinant antibodies (</w:t>
      </w:r>
      <w:r w:rsidR="005E023A" w:rsidRPr="00F01A00">
        <w:rPr>
          <w:rFonts w:ascii="Arial" w:hAnsi="Arial" w:cs="Arial"/>
          <w:b/>
          <w:sz w:val="22"/>
          <w:szCs w:val="22"/>
        </w:rPr>
        <w:t xml:space="preserve">Figure </w:t>
      </w:r>
      <w:r w:rsidR="003423A1" w:rsidRPr="00F01A00">
        <w:rPr>
          <w:rFonts w:ascii="Arial" w:hAnsi="Arial" w:cs="Arial"/>
          <w:b/>
          <w:sz w:val="22"/>
          <w:szCs w:val="22"/>
        </w:rPr>
        <w:t>2</w:t>
      </w:r>
      <w:r w:rsidR="005E023A" w:rsidRPr="00F01A00">
        <w:rPr>
          <w:rFonts w:ascii="Arial" w:hAnsi="Arial" w:cs="Arial"/>
          <w:sz w:val="22"/>
          <w:szCs w:val="22"/>
        </w:rPr>
        <w:t>)</w:t>
      </w:r>
      <w:r w:rsidR="005E023A" w:rsidRPr="00F01A00">
        <w:rPr>
          <w:rFonts w:ascii="Arial" w:hAnsi="Arial" w:cs="Arial"/>
          <w:b/>
          <w:sz w:val="22"/>
          <w:szCs w:val="22"/>
        </w:rPr>
        <w:t xml:space="preserve">. </w:t>
      </w:r>
      <w:r w:rsidR="005E023A" w:rsidRPr="00F01A00">
        <w:rPr>
          <w:rFonts w:ascii="Arial" w:hAnsi="Arial" w:cs="Arial"/>
          <w:sz w:val="22"/>
          <w:szCs w:val="22"/>
        </w:rPr>
        <w:t xml:space="preserve">Briefly, we use well-established Fab </w:t>
      </w:r>
      <w:r w:rsidR="005E2690">
        <w:rPr>
          <w:rFonts w:ascii="Arial" w:hAnsi="Arial" w:cs="Arial"/>
          <w:sz w:val="22"/>
          <w:szCs w:val="22"/>
        </w:rPr>
        <w:t xml:space="preserve">and VH </w:t>
      </w:r>
      <w:r w:rsidR="005E023A" w:rsidRPr="00F01A00">
        <w:rPr>
          <w:rFonts w:ascii="Arial" w:hAnsi="Arial" w:cs="Arial"/>
          <w:sz w:val="22"/>
          <w:szCs w:val="22"/>
        </w:rPr>
        <w:t>librar</w:t>
      </w:r>
      <w:r w:rsidR="004D517F" w:rsidRPr="00F01A00">
        <w:rPr>
          <w:rFonts w:ascii="Arial" w:hAnsi="Arial" w:cs="Arial"/>
          <w:sz w:val="22"/>
          <w:szCs w:val="22"/>
        </w:rPr>
        <w:t>ies generated here at UCSF using codon biased mutagenesis of CDRs</w:t>
      </w:r>
      <w:r w:rsidR="000C771F" w:rsidRPr="00F01A00">
        <w:rPr>
          <w:rFonts w:ascii="Arial" w:hAnsi="Arial" w:cs="Arial"/>
          <w:sz w:val="22"/>
          <w:szCs w:val="22"/>
        </w:rPr>
        <w:t xml:space="preserve"> </w:t>
      </w:r>
      <w:r w:rsidR="000C771F"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NAwxnl3L","properties":{"formattedCitation":"[16]","plainCitation":"[16]","noteIndex":0},"citationItems":[{"id":"peimv2KQ/cZJOLrZC","uris":["http://www.mendeley.com/documents/?uuid=6f58c0df-0539-493b-86fe-5202f23a0387"],"itemData":{"DOI":"10.1016/j.jmb.2012.11.037","ISBN":"0022-2836","ISSN":"00222836","PMID":"23219464","abstract":"A synthetic phage-displayed antibody repertoire was constructed with equivalent chemical diversity in the third complementarity-determining regions of the heavy (CDR-H3) and light (CDR-L3) chains, which contrasts with natural antibodies in which CDR-H3 is much more diverse than CDR-L3 due to the genetic mechanisms that generate antibody encoding genes. Surprisingly, the synthetic repertoire yielded numerous functional antibodies that contained mutated CDR-L3 sequences but a fixed CDR-H3 sequence. Alanine-scanning analysis of antibodies that recognized 10 different antigens but contained a common CDR-H3 loop showed that, in most cases, the fixed CDR-H3 sequence was able to contribute favorably to antigen recognition, but in some cases, the loop was functionally inert. Structural analysis of one such antibody in complex with antigen showed that the inert CDR-H3 loop was nonetheless highly buried at the antibody-antigen interface. Taken together, these results show that CDR-H3 diversity is not necessarily required for the generation of antibodies that recognize diverse protein antigens with high affinity and specificity, and if given the chance, CDR-L3 readily assumes the dominant role for antigen recognition. These results contrast with the commonly accepted view of antigen recognition derived from the analysis of natural antibodies, in which CDR-H3 is presumed to be dominant and CDR-L3 is presumed to play an auxiliary role. Furthermore, the results show that natural antibody function is genetically constrained, and it should be possible to develop more functional synthetic antibody libraries by expanding the diversity of CDR-L3 beyond what is observed in nature. © 2012 Elsevier Ltd.","author":[{"dropping-particle":"","family":"Persson","given":"Helena","non-dropping-particle":"","parse-names":false,"suffix":""},{"dropping-particle":"","family":"Ye","given":"Wei","non-dropping-particle":"","parse-names":false,"suffix":""},{"dropping-particle":"","family":"Wernimont","given":"Amy","non-dropping-particle":"","parse-names":false,"suffix":""},{"dropping-particle":"","family":"Adams","given":"Jarrett J.","non-dropping-particle":"","parse-names":false,"suffix":""},{"dropping-particle":"","family":"Koide","given":"Akiko","non-dropping-particle":"","parse-names":false,"suffix":""},{"dropping-particle":"","family":"Koide","given":"Shohei","non-dropping-particle":"","parse-names":false,"suffix":""},{"dropping-particle":"","family":"Lam","given":"Robert","non-dropping-particle":"","parse-names":false,"suffix":""},{"dropping-particle":"","family":"Sidhu","given":"Sachdev S.","non-dropping-particle":"","parse-names":false,"suffix":""}],"container-title":"Journal of Molecular Biology","id":"ITEM-1","issue":"4","issued":{"date-parts":[["2013"]]},"page":"803-811","title":"CDR-H3 diversity is not required for antigen recognition by synthetic antibodies","type":"article-journal","volume":"425"}}],"schema":"https://github.com/citation-style-language/schema/raw/master/csl-citation.json"} </w:instrText>
      </w:r>
      <w:r w:rsidR="000C771F" w:rsidRPr="00F01A00">
        <w:rPr>
          <w:rFonts w:ascii="Arial" w:hAnsi="Arial" w:cs="Arial"/>
          <w:sz w:val="22"/>
          <w:szCs w:val="22"/>
        </w:rPr>
        <w:fldChar w:fldCharType="separate"/>
      </w:r>
      <w:r w:rsidR="00AB3BB1" w:rsidRPr="00F01A00">
        <w:rPr>
          <w:rFonts w:ascii="Arial" w:hAnsi="Arial" w:cs="Arial"/>
          <w:noProof/>
          <w:sz w:val="22"/>
          <w:szCs w:val="22"/>
        </w:rPr>
        <w:t>[16]</w:t>
      </w:r>
      <w:r w:rsidR="000C771F" w:rsidRPr="00F01A00">
        <w:rPr>
          <w:rFonts w:ascii="Arial" w:hAnsi="Arial" w:cs="Arial"/>
          <w:sz w:val="22"/>
          <w:szCs w:val="22"/>
        </w:rPr>
        <w:fldChar w:fldCharType="end"/>
      </w:r>
      <w:r w:rsidR="004D517F" w:rsidRPr="00F01A00">
        <w:rPr>
          <w:rFonts w:ascii="Arial" w:hAnsi="Arial" w:cs="Arial"/>
          <w:sz w:val="22"/>
          <w:szCs w:val="22"/>
        </w:rPr>
        <w:t xml:space="preserve">. Both contain </w:t>
      </w:r>
      <w:r w:rsidR="005E023A" w:rsidRPr="00F01A00">
        <w:rPr>
          <w:rFonts w:ascii="Arial" w:hAnsi="Arial" w:cs="Arial"/>
          <w:sz w:val="22"/>
          <w:szCs w:val="22"/>
        </w:rPr>
        <w:t>approximately 3</w:t>
      </w:r>
      <w:r w:rsidR="004D517F" w:rsidRPr="00F01A00">
        <w:rPr>
          <w:rFonts w:ascii="Arial" w:hAnsi="Arial" w:cs="Arial"/>
          <w:sz w:val="22"/>
          <w:szCs w:val="22"/>
        </w:rPr>
        <w:t>-10</w:t>
      </w:r>
      <w:r w:rsidR="005E023A" w:rsidRPr="00F01A00">
        <w:rPr>
          <w:rFonts w:ascii="Arial" w:hAnsi="Arial" w:cs="Arial"/>
          <w:sz w:val="22"/>
          <w:szCs w:val="22"/>
        </w:rPr>
        <w:t>x10</w:t>
      </w:r>
      <w:r w:rsidR="005E023A" w:rsidRPr="00F01A00">
        <w:rPr>
          <w:rFonts w:ascii="Arial" w:hAnsi="Arial" w:cs="Arial"/>
          <w:sz w:val="22"/>
          <w:szCs w:val="22"/>
          <w:vertAlign w:val="superscript"/>
        </w:rPr>
        <w:t>10</w:t>
      </w:r>
      <w:r w:rsidR="005E023A" w:rsidRPr="00F01A00">
        <w:rPr>
          <w:rFonts w:ascii="Arial" w:hAnsi="Arial" w:cs="Arial"/>
          <w:sz w:val="22"/>
          <w:szCs w:val="22"/>
        </w:rPr>
        <w:t xml:space="preserve"> unique antibody members with diversity primarily localized to the heavy chain CDRs (H1-H3) and the light chain CDR L3</w:t>
      </w:r>
      <w:r w:rsidR="005E2690">
        <w:rPr>
          <w:rFonts w:ascii="Arial" w:hAnsi="Arial" w:cs="Arial"/>
          <w:sz w:val="22"/>
          <w:szCs w:val="22"/>
        </w:rPr>
        <w:t xml:space="preserve"> in the case of Fab library</w:t>
      </w:r>
      <w:r w:rsidR="005E023A" w:rsidRPr="00F01A00">
        <w:rPr>
          <w:rFonts w:ascii="Arial" w:hAnsi="Arial" w:cs="Arial"/>
          <w:sz w:val="22"/>
          <w:szCs w:val="22"/>
        </w:rPr>
        <w:t xml:space="preserve"> </w:t>
      </w:r>
      <w:r w:rsidR="00E463B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{"citationID":"tYUMALhQ","properties":{"formattedCitation":"[17]","plainCitation":"[17]","noteIndex":0},"citationItems":[{"id":"peimv2KQ/eRKfYNbK","uris":["http://www.mendeley.com/documents/?uuid=75418db1-68df-42dd-b598-f3b7b7475837"],"itemData":{"DOI":"10.Carter, P., L. Presta, C. M. Gorman, J. B. Ridgway, D. Henner, W. L. Wong, A. M. Rowland, C. Kotts, M. E. Carver, and H. M. Shepard. 1992. “Humanization of an Anti-p185HER2 Antibody for Human Cancer Therapy.” Proceedings of the National Academy of Scie","ISBN":"0027-8424 (Print)","ISSN":"0027-8424","PMID":"1350088","abstract":"The murine monoclonal antibody mumAb4D5, directed against human epidermal growth factor receptor 2 (p185HER2), specifically inhibits proliferation of human tumor cells overexpressing p185HER2. However, the efficacy of mumAb4D5 in human cancer therapy is likely to be limited by a human anti-mouse antibody response and lack of effector functions. A \"humanized\" antibody, humAb4D5-1, containing only the antigen binding loops from mumAb4D5 and human variable region framework residues plus IgG1 constant domains was constructed. Light- and heavy-chain variable regions were simultaneously humanized in one step by \"gene conversion mutagenesis\" using 311-mer and 361-mer preassembled oligonucleotides, respectively. The humAb4D5-1 variant does not block the proliferation of human breast carcinoma SK-BR-3 cells, which overexpress p185HER2, despite tight antigen binding (Kd = 25 nM). One of seven additional humanized variants designed by molecular modeling (humAb4D5-8) binds the p185HER2 antigen 250-fold and 3-fold more tightly than humAb4D5-1 and mumAb4D5, respectively. In addition, humAb4D5-8 has potency comparable to the murine antibody in blocking SK-BR-3 cell proliferation. Furthermore, humAb4D5-8 is much more efficient in supporting antibody-dependent cellular cytotoxicity against SK-BR-3 cells than mumAb4D5, but it does not efficiently kill WI-38 cells, which express p185HER2 at lower levels.","author":[{"dropping-particle":"","family":"Carter","given":"P","non-dropping-particle":"","parse-names":false,"suffix":""},{"dropping-particle":"","family":"Presta","given":"L","non-dropping-particle":"","parse-names":false,"suffix":""},{"dropping-particle":"","family":"Gorman","given":"C M","non-dropping-particle":"","parse-names":false,"suffix":""},{"dropping-particle":"","family":"Ridgway","given":"J B","non-dropping-particle":"","parse-names":false,"suffix":""},{"dropping-particle":"","family":"Henner","given":"D","non-dropping-particle":"","parse-names":false,"suffix":""},{"dropping-particle":"","family":"Wong","given":"W L","non-dropping-particle":"","parse-names":false,"suffix":""},{"dropping-particle":"","family":"Rowland","given":"A M","non-dropping-particle":"","parse-names":false,"suffix":""},{"dropping-particle":"","family":"Kotts","given":"C","non-dropping-particle":"","parse-names":false,"suffix":""},{"dropping-particle":"","family":"Carver","given":"M E","non-dropping-particle":"","parse-names":false,"suffix":""},{"dropping-particle":"","family":"Shepard","given":"H M","non-dropping-particle":"","parse-names":false,"suffix":""}],"container-title":"Proceedings of the National Academy of Sciences of the United States of America","id":"ITEM-1","issue":"10","issued":{"date-parts":[["1992"]]},"page":"4285-4289","title":"Humanization of an anti-p185HER2 antibody for human cancer therapy.","type":"article-journal","volume":"89"}}],"schema":"https://github.com/citation-style-language/schema/raw/master/csl-citation.json"} </w:instrText>
      </w:r>
      <w:r w:rsidR="00E463BA" w:rsidRPr="00F01A00">
        <w:rPr>
          <w:rFonts w:ascii="Arial" w:hAnsi="Arial" w:cs="Arial"/>
          <w:sz w:val="22"/>
          <w:szCs w:val="22"/>
        </w:rPr>
        <w:fldChar w:fldCharType="separate"/>
      </w:r>
      <w:r w:rsidR="00AB3BB1" w:rsidRPr="00F01A00">
        <w:rPr>
          <w:rFonts w:ascii="Arial" w:hAnsi="Arial" w:cs="Arial"/>
          <w:noProof/>
          <w:sz w:val="22"/>
          <w:szCs w:val="22"/>
        </w:rPr>
        <w:t>[17]</w:t>
      </w:r>
      <w:r w:rsidR="00E463BA" w:rsidRPr="00F01A00">
        <w:rPr>
          <w:rFonts w:ascii="Arial" w:hAnsi="Arial" w:cs="Arial"/>
          <w:sz w:val="22"/>
          <w:szCs w:val="22"/>
        </w:rPr>
        <w:fldChar w:fldCharType="end"/>
      </w:r>
      <w:r w:rsidR="00E463BA" w:rsidRPr="00F01A00">
        <w:rPr>
          <w:rFonts w:ascii="Arial" w:hAnsi="Arial" w:cs="Arial"/>
          <w:sz w:val="22"/>
          <w:szCs w:val="22"/>
        </w:rPr>
        <w:t>.</w:t>
      </w:r>
      <w:r w:rsidR="005E023A" w:rsidRPr="00F01A00">
        <w:rPr>
          <w:rFonts w:ascii="Arial" w:hAnsi="Arial" w:cs="Arial"/>
          <w:sz w:val="22"/>
          <w:szCs w:val="22"/>
        </w:rPr>
        <w:t xml:space="preserve"> Th</w:t>
      </w:r>
      <w:r w:rsidR="004D517F" w:rsidRPr="00F01A00">
        <w:rPr>
          <w:rFonts w:ascii="Arial" w:hAnsi="Arial" w:cs="Arial"/>
          <w:sz w:val="22"/>
          <w:szCs w:val="22"/>
        </w:rPr>
        <w:t>ese</w:t>
      </w:r>
      <w:r w:rsidR="005E023A" w:rsidRPr="00F01A00">
        <w:rPr>
          <w:rFonts w:ascii="Arial" w:hAnsi="Arial" w:cs="Arial"/>
          <w:sz w:val="22"/>
          <w:szCs w:val="22"/>
        </w:rPr>
        <w:t xml:space="preserve"> librar</w:t>
      </w:r>
      <w:r w:rsidR="004D517F" w:rsidRPr="00F01A00">
        <w:rPr>
          <w:rFonts w:ascii="Arial" w:hAnsi="Arial" w:cs="Arial"/>
          <w:sz w:val="22"/>
          <w:szCs w:val="22"/>
        </w:rPr>
        <w:t>ies</w:t>
      </w:r>
      <w:r w:rsidR="005E023A" w:rsidRPr="00F01A00">
        <w:rPr>
          <w:rFonts w:ascii="Arial" w:hAnsi="Arial" w:cs="Arial"/>
          <w:sz w:val="22"/>
          <w:szCs w:val="22"/>
        </w:rPr>
        <w:t xml:space="preserve"> </w:t>
      </w:r>
      <w:r w:rsidR="004D517F" w:rsidRPr="00F01A00">
        <w:rPr>
          <w:rFonts w:ascii="Arial" w:hAnsi="Arial" w:cs="Arial"/>
          <w:sz w:val="22"/>
          <w:szCs w:val="22"/>
        </w:rPr>
        <w:t xml:space="preserve">are constructed </w:t>
      </w:r>
      <w:r w:rsidR="005E023A" w:rsidRPr="00F01A00">
        <w:rPr>
          <w:rFonts w:ascii="Arial" w:hAnsi="Arial" w:cs="Arial"/>
          <w:sz w:val="22"/>
          <w:szCs w:val="22"/>
        </w:rPr>
        <w:t xml:space="preserve">on the highly stable </w:t>
      </w:r>
      <w:r w:rsidR="00FF6CB0" w:rsidRPr="00F01A00">
        <w:rPr>
          <w:rFonts w:ascii="Arial" w:hAnsi="Arial" w:cs="Arial"/>
          <w:sz w:val="22"/>
          <w:szCs w:val="22"/>
        </w:rPr>
        <w:t>trastuzumab</w:t>
      </w:r>
      <w:r w:rsidR="005E023A" w:rsidRPr="00F01A00">
        <w:rPr>
          <w:rFonts w:ascii="Arial" w:hAnsi="Arial" w:cs="Arial"/>
          <w:sz w:val="22"/>
          <w:szCs w:val="22"/>
        </w:rPr>
        <w:t xml:space="preserve"> scaffold (Tm </w:t>
      </w:r>
      <w:r w:rsidR="004D517F" w:rsidRPr="00F01A00">
        <w:rPr>
          <w:rFonts w:ascii="Arial" w:hAnsi="Arial" w:cs="Arial"/>
          <w:sz w:val="22"/>
          <w:szCs w:val="22"/>
        </w:rPr>
        <w:t>~</w:t>
      </w:r>
      <w:r w:rsidR="005E023A" w:rsidRPr="00F01A00">
        <w:rPr>
          <w:rFonts w:ascii="Arial" w:hAnsi="Arial" w:cs="Arial"/>
          <w:sz w:val="22"/>
          <w:szCs w:val="22"/>
        </w:rPr>
        <w:t>80˚C)</w:t>
      </w:r>
      <w:r w:rsidR="00FF6CB0" w:rsidRPr="00F01A00">
        <w:rPr>
          <w:rFonts w:ascii="Arial" w:hAnsi="Arial" w:cs="Arial"/>
          <w:sz w:val="22"/>
          <w:szCs w:val="22"/>
        </w:rPr>
        <w:t>, commonly used in pharma for humanization because it</w:t>
      </w:r>
      <w:r w:rsidR="005E023A" w:rsidRPr="00F01A00">
        <w:rPr>
          <w:rFonts w:ascii="Arial" w:hAnsi="Arial" w:cs="Arial"/>
          <w:sz w:val="22"/>
          <w:szCs w:val="22"/>
        </w:rPr>
        <w:t xml:space="preserve"> helps to avoid problems with denaturation and aggregation. </w:t>
      </w:r>
      <w:r w:rsidR="004D517F" w:rsidRPr="00F01A00">
        <w:rPr>
          <w:rFonts w:ascii="Arial" w:hAnsi="Arial" w:cs="Arial"/>
          <w:sz w:val="22"/>
          <w:szCs w:val="22"/>
        </w:rPr>
        <w:t>These synthetic naïve libraries and derivatives have</w:t>
      </w:r>
      <w:r w:rsidR="005E023A" w:rsidRPr="00F01A00">
        <w:rPr>
          <w:rFonts w:ascii="Arial" w:hAnsi="Arial" w:cs="Arial"/>
          <w:sz w:val="22"/>
          <w:szCs w:val="22"/>
        </w:rPr>
        <w:t xml:space="preserve"> been successfully used to generate validated antibodies against &gt;500 different </w:t>
      </w:r>
      <w:r w:rsidR="004D517F" w:rsidRPr="00F01A00">
        <w:rPr>
          <w:rFonts w:ascii="Arial" w:hAnsi="Arial" w:cs="Arial"/>
          <w:sz w:val="22"/>
          <w:szCs w:val="22"/>
        </w:rPr>
        <w:t xml:space="preserve">transcription factors </w:t>
      </w:r>
      <w:r w:rsidR="005E023A" w:rsidRPr="00F01A00">
        <w:rPr>
          <w:rFonts w:ascii="Arial" w:hAnsi="Arial" w:cs="Arial"/>
          <w:sz w:val="22"/>
          <w:szCs w:val="22"/>
        </w:rPr>
        <w:t>antigens</w:t>
      </w:r>
      <w:r w:rsidR="004D517F" w:rsidRPr="00F01A00">
        <w:rPr>
          <w:rFonts w:ascii="Arial" w:hAnsi="Arial" w:cs="Arial"/>
          <w:sz w:val="22"/>
          <w:szCs w:val="22"/>
        </w:rPr>
        <w:t xml:space="preserve"> </w:t>
      </w:r>
      <w:r w:rsidR="00E463B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{"citationID":"Pdye8c1t","properties":{"formattedCitation":"[7], [16]","plainCitation":"[7], [16]","noteIndex":0},"citationItems":[{"id":"peimv2KQ/sOYJXEKm","uris":["http://www.mendeley.com/documents/?uuid=cb19befc-e74b-4c56-8268-44bbf76da70f"],"itemData":{"DOI":"10.1074/mcp.O115.052209","ISBN":"1535-9476","ISSN":"1535-9476","PMID":"26290498","author":[{"dropping-particle":"","family":"Hornsby","given":"Michael","non-dropping-particle":"","parse-names":false,"suffix":""},{"dropping-particle":"","family":"Paduch","given":"Marcin","non-dropping-particle":"","parse-names":false,"suffix":""},{"dropping-particle":"","family":"Miersch","given":"Shane","non-dropping-particle":"","parse-names":false,"suffix":""},{"dropping-particle":"","family":"Sääf","given":"Annika","non-dropping-particle":"","parse-names":false,"suffix":""},{"dropping-particle":"","family":"Matsuguchi","given":"Tet","non-dropping-particle":"","parse-names":false,"suffix":""},{"dropping-particle":"","family":"Lee","given":"Brian","non-dropping-particle":"","parse-names":false,"suffix":""},{"dropping-particle":"","family":"Wypisniak","given":"Karolina","non-dropping-particle":"","parse-names":false,"suffix":""},{"dropping-particle":"","family":"Doak","given":"Allison","non-dropping-particle":"","parse-names":false,"suffix":""},{"dropping-particle":"","family":"King","given":"Daniel","non-dropping-particle":"","parse-names":false,"suffix":""},{"dropping-particle":"","family":"Usatyuk","given":"Svitlana","non-dropping-particle":"","parse-names":false,"suffix":""},{"dropping-particle":"","family":"Perry","given":"Kimberly","non-dropping-particle":"","parse-names":false,"suffix":""},{"dropping-particle":"","family":"Lu","given":"Vince","non-dropping-particle":"","parse-names":false,"suffix":""},{"dropping-particle":"","family":"Thomas","given":"William","non-dropping-particle":"","parse-names":false,"suffix":""},{"dropping-particle":"","family":"Luke","given":"Judy","non-dropping-particle":"","parse-names":false,"suffix":""},{"dropping-particle":"","family":"Goodman","given":"Jay","non-dropping-particle":"","parse-names":false,"suffix":""},{"dropping-particle":"","family":"Hoey","given":"Robert J.","non-dropping-particle":"","parse-names":false,"suffix":""},{"dropping-particle":"","family":"Lai","given":"Darson","non-dropping-particle":"","parse-names":false,"suffix":""},{"dropping-particle":"","family":"Griffin","given":"Carly","non-dropping-particle":"","parse-names":false,"suffix":""},{"dropping-particle":"","family":"Li","given":"Zhijian","non-dropping-particle":"","parse-names":false,"suffix":""},{"dropping-particle":"","family":"Vizeacoumar","given":"Franco J.","non-dropping-particle":"","parse-names":false,"suffix":""},{"dropping-particle":"","family":"Dong","given":"Debbie","non-dropping-particle":"","parse-names":false,"suffix":""},{"dropping-particle":"","family":"Campbell","given":"Elliot","non-dropping-particle":"","parse-names":false,"suffix":""},{"dropping-particle":"","family":"Anderson","given":"Stephen","non-dropping-particle":"","parse-names":false,"suffix":""},{"dropping-particle":"","family":"Zhong","given":"Nan","non-dropping-particle":"","parse-names":false,"suffix":""},{"dropping-particle":"","family":"Gräslund","given":"Susanne","non-dropping-particle":"","parse-names":false,"suffix":""},{"dropping-particle":"","family":"Koide","given":"Shohei","non-dropping-particle":"","parse-names":false,"suffix":""},{"dropping-particle":"","family":"Moffat","given":"Jason","non-dropping-particle":"","parse-names":false,"suffix":""},{"dropping-particle":"","family":"Sidhu","given":"Sachdev","non-dropping-particle":"","parse-names":false,"suffix":""},{"dropping-particle":"","family":"Kossiakoff","given":"Anthony","non-dropping-particle":"","parse-names":false,"suffix":""},{"dropping-particle":"","family":"Wells","given":"James","non-dropping-particle":"","parse-names":false,"suffix":""}],"container-title":"Molecular &amp; Cellular Proteomics","id":"ITEM-1","issue":"10","issued":{"date-parts":[["2015"]]},"page":"2833-2847","title":"A High Through-put Platform for Recombinant Antibodies to Folded Proteins","type":"article-journal","volume":"14"}},{"id":"peimv2KQ/cZJOLrZC","uris":["http://www.mendeley.com/documents/?uuid=6f58c0df-0539-493b-86fe-5202f23a0387"],"itemData":{"DOI":"10.1016/j.jmb.2012.11.037","ISBN":"0022-2836","ISSN":"00222836","PMID":"23219464","abstract":"A synthetic phage-displayed antibody repertoire was constructed with equivalent chemical diversity in the third complementarity-determining regions of the heavy (CDR-H3) and light (CDR-L3) chains, which contrasts with natural antibodies in which CDR-H3 is much more diverse than CDR-L3 due to the genetic mechanisms that generate antibody encoding genes. Surprisingly, the synthetic repertoire yielded numerous functional antibodies that contained mutated CDR-L3 sequences but a fixed CDR-H3 sequence. Alanine-scanning analysis of antibodies that recognized 10 different antigens but contained a common CDR-H3 loop showed that, in most cases, the fixed CDR-H3 sequence was able to contribute favorably to antigen recognition, but in some cases, the loop was functionally inert. Structural analysis of one such antibody in complex with antigen showed that the inert CDR-H3 loop was nonetheless highly buried at the antibody-antigen interface. Taken together, these results show that CDR-H3 diversity is not necessarily required for the generation of antibodies that recognize diverse protein antigens with high affinity and specificity, and if given the chance, CDR-L3 readily assumes the dominant role for antigen recognition. These results contrast with the commonly accepted view of antigen recognition derived from the analysis of natural antibodies, in which CDR-H3 is presumed to be dominant and CDR-L3 is presumed to play an auxiliary role. Furthermore, the results show that natural antibody function is genetically constrained, and it should be possible to develop more functional synthetic antibody libraries by expanding the diversity of CDR-L3 beyond what is observed in nature. © 2012 Elsevier Ltd.","author":[{"dropping-particle":"","family":"Persson","given":"Helena","non-dropping-particle":"","parse-names":false,"suffix":""},{"dropping-particle":"","family":"Ye","given":"Wei","non-dropping-particle":"","parse-names":false,"suffix":""},{"dropping-particle":"","family":"Wernimont","given":"Amy","non-dropping-particle":"","parse-names":false,"suffix":""},{"dropping-particle":"","family":"Adams","given":"Jarrett J.","non-dropping-particle":"","parse-names":false,"suffix":""},{"dropping-particle":"","family":"Koide","given":"Akiko","non-dropping-particle":"","parse-names":false,"suffix":""},{"dropping-particle":"","family":"Koide","given":"Shohei","non-dropping-particle":"","parse-names":false,"suffix":""},{"dropping-particle":"","family":"Lam","given":"Robert","non-dropping-particle":"","parse-names":false,"suffix":""},{"dropping-particle":"","family":"Sidhu","given":"Sachdev S.","non-dropping-particle":"","parse-names":false,"suffix":""}],"container-title":"Journal of Molecular Biology","id":"ITEM-2","issue":"4","issued":{"date-parts":[["2013"]]},"page":"803-811","title":"CDR-H3 diversity is not required for antigen recognition by synthetic antibodies","type":"article-journal","volume":"425"}}],"schema":"https://github.com/citation-style-language/schema/raw/master/csl-citation.json"} </w:instrText>
      </w:r>
      <w:r w:rsidR="00E463BA" w:rsidRPr="00F01A00">
        <w:rPr>
          <w:rFonts w:ascii="Arial" w:hAnsi="Arial" w:cs="Arial"/>
          <w:sz w:val="22"/>
          <w:szCs w:val="22"/>
        </w:rPr>
        <w:fldChar w:fldCharType="separate"/>
      </w:r>
      <w:r w:rsidR="00AB3BB1" w:rsidRPr="00F01A00">
        <w:rPr>
          <w:rFonts w:ascii="Arial" w:hAnsi="Arial" w:cs="Arial"/>
          <w:noProof/>
          <w:sz w:val="22"/>
          <w:szCs w:val="22"/>
        </w:rPr>
        <w:t>[7], [16]</w:t>
      </w:r>
      <w:r w:rsidR="00E463BA" w:rsidRPr="00F01A00">
        <w:rPr>
          <w:rFonts w:ascii="Arial" w:hAnsi="Arial" w:cs="Arial"/>
          <w:sz w:val="22"/>
          <w:szCs w:val="22"/>
        </w:rPr>
        <w:fldChar w:fldCharType="end"/>
      </w:r>
      <w:r w:rsidR="00F334B2" w:rsidRPr="00F01A00">
        <w:rPr>
          <w:rFonts w:ascii="Arial" w:hAnsi="Arial" w:cs="Arial"/>
          <w:sz w:val="22"/>
          <w:szCs w:val="22"/>
        </w:rPr>
        <w:t xml:space="preserve"> </w:t>
      </w:r>
      <w:r w:rsidR="004D517F" w:rsidRPr="00F01A00">
        <w:rPr>
          <w:rFonts w:ascii="Arial" w:hAnsi="Arial" w:cs="Arial"/>
          <w:sz w:val="22"/>
          <w:szCs w:val="22"/>
        </w:rPr>
        <w:t>and more than 200 surface antigens</w:t>
      </w:r>
      <w:r w:rsidR="005E023A" w:rsidRPr="00F01A00">
        <w:rPr>
          <w:rFonts w:ascii="Arial" w:hAnsi="Arial" w:cs="Arial"/>
          <w:sz w:val="22"/>
          <w:szCs w:val="22"/>
        </w:rPr>
        <w:t xml:space="preserve">. </w:t>
      </w:r>
      <w:r w:rsidR="00FF6CB0" w:rsidRPr="00F01A00">
        <w:rPr>
          <w:rFonts w:ascii="Arial" w:hAnsi="Arial" w:cs="Arial"/>
          <w:sz w:val="22"/>
          <w:szCs w:val="22"/>
        </w:rPr>
        <w:t>Phage</w:t>
      </w:r>
      <w:r w:rsidR="005E023A" w:rsidRPr="00F01A00">
        <w:rPr>
          <w:rFonts w:ascii="Arial" w:hAnsi="Arial" w:cs="Arial"/>
          <w:sz w:val="22"/>
          <w:szCs w:val="22"/>
        </w:rPr>
        <w:t xml:space="preserve"> selections typically result in a pool of hundreds of Fab-</w:t>
      </w:r>
      <w:proofErr w:type="gramStart"/>
      <w:r w:rsidR="005E023A" w:rsidRPr="00F01A00">
        <w:rPr>
          <w:rFonts w:ascii="Arial" w:hAnsi="Arial" w:cs="Arial"/>
          <w:sz w:val="22"/>
          <w:szCs w:val="22"/>
        </w:rPr>
        <w:t>phage</w:t>
      </w:r>
      <w:proofErr w:type="gramEnd"/>
      <w:r w:rsidR="00FF6CB0" w:rsidRPr="00F01A00">
        <w:rPr>
          <w:rFonts w:ascii="Arial" w:hAnsi="Arial" w:cs="Arial"/>
          <w:sz w:val="22"/>
          <w:szCs w:val="22"/>
        </w:rPr>
        <w:t xml:space="preserve"> or VH-phage</w:t>
      </w:r>
      <w:r w:rsidR="005E023A" w:rsidRPr="00F01A00">
        <w:rPr>
          <w:rFonts w:ascii="Arial" w:hAnsi="Arial" w:cs="Arial"/>
          <w:sz w:val="22"/>
          <w:szCs w:val="22"/>
        </w:rPr>
        <w:t xml:space="preserve"> for each antigen. These pools are then advanced for deconvolution and characterization</w:t>
      </w:r>
      <w:r w:rsidR="004A25CE" w:rsidRPr="00F01A00">
        <w:rPr>
          <w:rFonts w:ascii="Arial" w:hAnsi="Arial" w:cs="Arial"/>
          <w:sz w:val="22"/>
          <w:szCs w:val="22"/>
        </w:rPr>
        <w:t xml:space="preserve"> </w:t>
      </w:r>
      <w:r w:rsidR="005E023A" w:rsidRPr="00F01A00">
        <w:rPr>
          <w:rFonts w:ascii="Arial" w:hAnsi="Arial" w:cs="Arial"/>
          <w:sz w:val="22"/>
          <w:szCs w:val="22"/>
        </w:rPr>
        <w:t xml:space="preserve">based on unique sequence family, affinity and selectivity. </w:t>
      </w:r>
    </w:p>
    <w:p w14:paraId="5B114F42" w14:textId="77777777" w:rsidR="00FF6CB0" w:rsidRPr="00F01A00" w:rsidRDefault="00FF6CB0" w:rsidP="00AB2151">
      <w:pPr>
        <w:jc w:val="both"/>
        <w:rPr>
          <w:rFonts w:ascii="Arial" w:hAnsi="Arial" w:cs="Arial"/>
          <w:sz w:val="22"/>
          <w:szCs w:val="22"/>
        </w:rPr>
      </w:pPr>
    </w:p>
    <w:p w14:paraId="3ACE33E6" w14:textId="5CF2AD8F" w:rsidR="005E023A" w:rsidRPr="00F01A00" w:rsidRDefault="004A25CE" w:rsidP="00AB2151">
      <w:pPr>
        <w:pStyle w:val="ListParagraph"/>
        <w:ind w:left="0" w:firstLine="720"/>
        <w:jc w:val="both"/>
        <w:rPr>
          <w:rFonts w:ascii="Arial" w:hAnsi="Arial" w:cs="Arial"/>
          <w:sz w:val="22"/>
          <w:szCs w:val="22"/>
        </w:rPr>
      </w:pPr>
      <w:r w:rsidRPr="00F01A00">
        <w:rPr>
          <w:rFonts w:ascii="Arial" w:hAnsi="Arial" w:cs="Arial"/>
          <w:b/>
          <w:bCs/>
          <w:i/>
          <w:sz w:val="22"/>
          <w:szCs w:val="22"/>
        </w:rPr>
        <w:t>ii</w:t>
      </w:r>
      <w:r w:rsidR="005E023A" w:rsidRPr="00F01A00">
        <w:rPr>
          <w:rFonts w:ascii="Arial" w:hAnsi="Arial" w:cs="Arial"/>
          <w:b/>
          <w:bCs/>
          <w:i/>
          <w:sz w:val="22"/>
          <w:szCs w:val="22"/>
        </w:rPr>
        <w:t>i. Deconvoluting Fab-phage pools for affinity, selectivity and unique sequence.</w:t>
      </w:r>
      <w:r w:rsidR="005E023A" w:rsidRPr="00F01A00">
        <w:rPr>
          <w:rFonts w:ascii="Arial" w:hAnsi="Arial" w:cs="Arial"/>
          <w:i/>
          <w:sz w:val="22"/>
          <w:szCs w:val="22"/>
        </w:rPr>
        <w:t xml:space="preserve"> </w:t>
      </w:r>
      <w:r w:rsidR="005E023A" w:rsidRPr="00F01A00">
        <w:rPr>
          <w:rFonts w:ascii="Arial" w:hAnsi="Arial" w:cs="Arial"/>
          <w:sz w:val="22"/>
          <w:szCs w:val="22"/>
        </w:rPr>
        <w:t>We typically screen 96 Fab-phage clones in a conventional direct binding and competition phage-ELISA against the Fc-fusion antigen. All high affinity binders are sequenced to identify unique clones. We routinely obtain 5-10 unique Fab</w:t>
      </w:r>
      <w:r w:rsidR="00FF6CB0" w:rsidRPr="00F01A00">
        <w:rPr>
          <w:rFonts w:ascii="Arial" w:hAnsi="Arial" w:cs="Arial"/>
          <w:sz w:val="22"/>
          <w:szCs w:val="22"/>
        </w:rPr>
        <w:t xml:space="preserve"> sequence families</w:t>
      </w:r>
      <w:r w:rsidR="005E023A" w:rsidRPr="00F01A00">
        <w:rPr>
          <w:rFonts w:ascii="Arial" w:hAnsi="Arial" w:cs="Arial"/>
          <w:sz w:val="22"/>
          <w:szCs w:val="22"/>
        </w:rPr>
        <w:t xml:space="preserve"> with high affinities for each target antigen (avg </w:t>
      </w:r>
      <w:proofErr w:type="spellStart"/>
      <w:r w:rsidR="005E023A" w:rsidRPr="00F01A00">
        <w:rPr>
          <w:rFonts w:ascii="Arial" w:hAnsi="Arial" w:cs="Arial"/>
          <w:i/>
          <w:sz w:val="22"/>
          <w:szCs w:val="22"/>
        </w:rPr>
        <w:t>K</w:t>
      </w:r>
      <w:r w:rsidR="005E023A" w:rsidRPr="00F01A00">
        <w:rPr>
          <w:rFonts w:ascii="Arial" w:hAnsi="Arial" w:cs="Arial"/>
          <w:sz w:val="22"/>
          <w:szCs w:val="22"/>
          <w:vertAlign w:val="subscript"/>
        </w:rPr>
        <w:t>d</w:t>
      </w:r>
      <w:proofErr w:type="spellEnd"/>
      <w:r w:rsidR="005E023A" w:rsidRPr="00F01A00">
        <w:rPr>
          <w:rFonts w:ascii="Arial" w:hAnsi="Arial" w:cs="Arial"/>
          <w:sz w:val="22"/>
          <w:szCs w:val="22"/>
        </w:rPr>
        <w:t xml:space="preserve"> &lt;10nM)</w:t>
      </w:r>
      <w:r w:rsidR="00E463BA" w:rsidRPr="00F01A00">
        <w:rPr>
          <w:rFonts w:ascii="Arial" w:hAnsi="Arial" w:cs="Arial"/>
          <w:sz w:val="22"/>
          <w:szCs w:val="22"/>
        </w:rPr>
        <w:t xml:space="preserve"> </w:t>
      </w:r>
      <w:r w:rsidR="00E463B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1ST9axTV","properties":{"formattedCitation":"[7]","plainCitation":"[7]","noteIndex":0},"citationItems":[{"id":"peimv2KQ/sOYJXEKm","uris":["http://www.mendeley.com/documents/?uuid=cb19befc-e74b-4c56-8268-44bbf76da70f"],"itemData":{"DOI":"10.1074/mcp.O115.052209","ISBN":"1535-9476","ISSN":"1535-9476","PMID":"26290498","author":[{"dropping-particle":"","family":"Hornsby","given":"Michael","non-dropping-particle":"","parse-names":false,"suffix":""},{"dropping-particle":"","family":"Paduch","given":"Marcin","non-dropping-particle":"","parse-names":false,"suffix":""},{"dropping-particle":"","family":"Miersch","given":"Shane","non-dropping-particle":"","parse-names":false,"suffix":""},{"dropping-particle":"","family":"Sääf","given":"Annika","non-dropping-particle":"","parse-names":false,"suffix":""},{"dropping-particle":"","family":"Matsuguchi","given":"Tet","non-dropping-particle":"","parse-names":false,"suffix":""},{"dropping-particle":"","family":"Lee","given":"Brian","non-dropping-particle":"","parse-names":false,"suffix":""},{"dropping-particle":"","family":"Wypisniak","given":"Karolina","non-dropping-particle":"","parse-names":false,"suffix":""},{"dropping-particle":"","family":"Doak","given":"Allison","non-dropping-particle":"","parse-names":false,"suffix":""},{"dropping-particle":"","family":"King","given":"Daniel","non-dropping-particle":"","parse-names":false,"suffix":""},{"dropping-particle":"","family":"Usatyuk","given":"Svitlana","non-dropping-particle":"","parse-names":false,"suffix":""},{"dropping-particle":"","family":"Perry","given":"Kimberly","non-dropping-particle":"","parse-names":false,"suffix":""},{"dropping-particle":"","family":"Lu","given":"Vince","non-dropping-particle":"","parse-names":false,"suffix":""},{"dropping-particle":"","family":"Thomas","given":"William","non-dropping-particle":"","parse-names":false,"suffix":""},{"dropping-particle":"","family":"Luke","given":"Judy","non-dropping-particle":"","parse-names":false,"suffix":""},{"dropping-particle":"","family":"Goodman","given":"Jay","non-dropping-particle":"","parse-names":false,"suffix":""},{"dropping-particle":"","family":"Hoey","given":"Robert J.","non-dropping-particle":"","parse-names":false,"suffix":""},{"dropping-particle":"","family":"Lai","given":"Darson","non-dropping-particle":"","parse-names":false,"suffix":""},{"dropping-particle":"","family":"Griffin","given":"Carly","non-dropping-particle":"","parse-names":false,"suffix":""},{"dropping-particle":"","family":"Li","given":"Zhijian","non-dropping-particle":"","parse-names":false,"suffix":""},{"dropping-particle":"","family":"Vizeacoumar","given":"Franco J.","non-dropping-particle":"","parse-names":false,"suffix":""},{"dropping-particle":"","family":"Dong","given":"Debbie","non-dropping-particle":"","parse-names":false,"suffix":""},{"dropping-particle":"","family":"Campbell","given":"Elliot","non-dropping-particle":"","parse-names":false,"suffix":""},{"dropping-particle":"","family":"Anderson","given":"Stephen","non-dropping-particle":"","parse-names":false,"suffix":""},{"dropping-particle":"","family":"Zhong","given":"Nan","non-dropping-particle":"","parse-names":false,"suffix":""},{"dropping-particle":"","family":"Gräslund","given":"Susanne","non-dropping-particle":"","parse-names":false,"suffix":""},{"dropping-particle":"","family":"Koide","given":"Shohei","non-dropping-particle":"","parse-names":false,"suffix":""},{"dropping-particle":"","family":"Moffat","given":"Jason","non-dropping-particle":"","parse-names":false,"suffix":""},{"dropping-particle":"","family":"Sidhu","given":"Sachdev","non-dropping-particle":"","parse-names":false,"suffix":""},{"dropping-particle":"","family":"Kossiakoff","given":"Anthony","non-dropping-particle":"","parse-names":false,"suffix":""},{"dropping-particle":"","family":"Wells","given":"James","non-dropping-particle":"","parse-names":false,"suffix":""}],"container-title":"Molecular &amp; Cellular Proteomics","id":"ITEM-1","issue":"10","issued":{"date-parts":[["2015"]]},"page":"2833-2847","title":"A High Through-put Platform for Recombinant Antibodies to Folded Proteins","type":"article-journal","volume":"14"}}],"schema":"https://github.com/citation-style-language/schema/raw/master/csl-citation.json"} </w:instrText>
      </w:r>
      <w:r w:rsidR="00E463BA" w:rsidRPr="00F01A00">
        <w:rPr>
          <w:rFonts w:ascii="Arial" w:hAnsi="Arial" w:cs="Arial"/>
          <w:sz w:val="22"/>
          <w:szCs w:val="22"/>
        </w:rPr>
        <w:fldChar w:fldCharType="separate"/>
      </w:r>
      <w:r w:rsidR="00AB3BB1" w:rsidRPr="00F01A00">
        <w:rPr>
          <w:rFonts w:ascii="Arial" w:hAnsi="Arial" w:cs="Arial"/>
          <w:noProof/>
          <w:sz w:val="22"/>
          <w:szCs w:val="22"/>
        </w:rPr>
        <w:t>[7]</w:t>
      </w:r>
      <w:r w:rsidR="00E463BA" w:rsidRPr="00F01A00">
        <w:rPr>
          <w:rFonts w:ascii="Arial" w:hAnsi="Arial" w:cs="Arial"/>
          <w:sz w:val="22"/>
          <w:szCs w:val="22"/>
        </w:rPr>
        <w:fldChar w:fldCharType="end"/>
      </w:r>
      <w:r w:rsidR="005E023A" w:rsidRPr="00F01A00">
        <w:rPr>
          <w:rFonts w:ascii="Arial" w:hAnsi="Arial" w:cs="Arial"/>
          <w:sz w:val="22"/>
          <w:szCs w:val="22"/>
        </w:rPr>
        <w:t xml:space="preserve">. </w:t>
      </w:r>
    </w:p>
    <w:p w14:paraId="279E2A3F" w14:textId="77777777" w:rsidR="00FF6CB0" w:rsidRPr="00F01A00" w:rsidRDefault="00FF6CB0" w:rsidP="00AB2151">
      <w:pPr>
        <w:pStyle w:val="ListParagraph"/>
        <w:ind w:left="0" w:firstLine="720"/>
        <w:jc w:val="both"/>
        <w:rPr>
          <w:rFonts w:ascii="Arial" w:hAnsi="Arial" w:cs="Arial"/>
          <w:sz w:val="22"/>
          <w:szCs w:val="22"/>
        </w:rPr>
      </w:pPr>
    </w:p>
    <w:p w14:paraId="0FD6D454" w14:textId="4F7070E5" w:rsidR="0092683C" w:rsidRPr="00F01A00" w:rsidRDefault="004A25CE" w:rsidP="00AB2151">
      <w:pPr>
        <w:pStyle w:val="ListParagraph"/>
        <w:ind w:left="0" w:firstLine="720"/>
        <w:jc w:val="both"/>
        <w:rPr>
          <w:rFonts w:ascii="Arial" w:hAnsi="Arial" w:cs="Arial"/>
          <w:sz w:val="22"/>
          <w:szCs w:val="22"/>
        </w:rPr>
      </w:pPr>
      <w:r w:rsidRPr="00F01A00">
        <w:rPr>
          <w:rFonts w:ascii="Arial" w:hAnsi="Arial" w:cs="Arial"/>
          <w:b/>
          <w:bCs/>
          <w:i/>
          <w:sz w:val="22"/>
          <w:szCs w:val="22"/>
        </w:rPr>
        <w:t>v</w:t>
      </w:r>
      <w:r w:rsidR="005E023A" w:rsidRPr="00F01A00">
        <w:rPr>
          <w:rFonts w:ascii="Arial" w:hAnsi="Arial" w:cs="Arial"/>
          <w:b/>
          <w:bCs/>
          <w:i/>
          <w:sz w:val="22"/>
          <w:szCs w:val="22"/>
        </w:rPr>
        <w:t>i. Expression and biophysical characterization of top 5-10 Fab candidates</w:t>
      </w:r>
      <w:r w:rsidR="005E023A" w:rsidRPr="00F01A00">
        <w:rPr>
          <w:rFonts w:ascii="Arial" w:hAnsi="Arial" w:cs="Arial"/>
          <w:i/>
          <w:sz w:val="22"/>
          <w:szCs w:val="22"/>
        </w:rPr>
        <w:t>.</w:t>
      </w:r>
      <w:r w:rsidR="005E023A" w:rsidRPr="00F01A00">
        <w:rPr>
          <w:rFonts w:ascii="Arial" w:hAnsi="Arial" w:cs="Arial"/>
          <w:sz w:val="22"/>
          <w:szCs w:val="22"/>
        </w:rPr>
        <w:t xml:space="preserve"> The lead Fab-phage clones are PCR amplified and subcloned into standardized </w:t>
      </w:r>
      <w:r w:rsidR="005E023A" w:rsidRPr="00F01A00">
        <w:rPr>
          <w:rFonts w:ascii="Arial" w:hAnsi="Arial" w:cs="Arial"/>
          <w:i/>
          <w:sz w:val="22"/>
          <w:szCs w:val="22"/>
        </w:rPr>
        <w:t>E. coli</w:t>
      </w:r>
      <w:r w:rsidR="005E023A" w:rsidRPr="00F01A00">
        <w:rPr>
          <w:rFonts w:ascii="Arial" w:hAnsi="Arial" w:cs="Arial"/>
          <w:sz w:val="22"/>
          <w:szCs w:val="22"/>
        </w:rPr>
        <w:t xml:space="preserve"> expression plasmids, either </w:t>
      </w:r>
      <w:proofErr w:type="spellStart"/>
      <w:r w:rsidR="005E023A" w:rsidRPr="00F01A00">
        <w:rPr>
          <w:rFonts w:ascii="Arial" w:hAnsi="Arial" w:cs="Arial"/>
          <w:sz w:val="22"/>
          <w:szCs w:val="22"/>
        </w:rPr>
        <w:t>Avi</w:t>
      </w:r>
      <w:proofErr w:type="spellEnd"/>
      <w:r w:rsidR="005E023A" w:rsidRPr="00F01A00">
        <w:rPr>
          <w:rFonts w:ascii="Arial" w:hAnsi="Arial" w:cs="Arial"/>
          <w:sz w:val="22"/>
          <w:szCs w:val="22"/>
        </w:rPr>
        <w:t>- or non-</w:t>
      </w:r>
      <w:proofErr w:type="spellStart"/>
      <w:r w:rsidR="005E023A" w:rsidRPr="00F01A00">
        <w:rPr>
          <w:rFonts w:ascii="Arial" w:hAnsi="Arial" w:cs="Arial"/>
          <w:sz w:val="22"/>
          <w:szCs w:val="22"/>
        </w:rPr>
        <w:t>Avi</w:t>
      </w:r>
      <w:proofErr w:type="spellEnd"/>
      <w:r w:rsidR="005E023A" w:rsidRPr="00F01A00">
        <w:rPr>
          <w:rFonts w:ascii="Arial" w:hAnsi="Arial" w:cs="Arial"/>
          <w:sz w:val="22"/>
          <w:szCs w:val="22"/>
        </w:rPr>
        <w:t>-tagged, by ligase independent cloning methods (recombinant-antibodies.org/protocols). Expressed Fabs are</w:t>
      </w:r>
      <w:r w:rsidR="00E64BF5" w:rsidRPr="00F01A00">
        <w:rPr>
          <w:rFonts w:ascii="Arial" w:hAnsi="Arial" w:cs="Arial"/>
          <w:sz w:val="22"/>
          <w:szCs w:val="22"/>
        </w:rPr>
        <w:t xml:space="preserve"> secreted into the periplasm of </w:t>
      </w:r>
      <w:r w:rsidR="00E64BF5" w:rsidRPr="00F01A00">
        <w:rPr>
          <w:rFonts w:ascii="Arial" w:hAnsi="Arial" w:cs="Arial"/>
          <w:i/>
          <w:iCs/>
          <w:sz w:val="22"/>
          <w:szCs w:val="22"/>
        </w:rPr>
        <w:t>E.coli</w:t>
      </w:r>
      <w:r w:rsidR="00E64BF5" w:rsidRPr="00F01A00">
        <w:rPr>
          <w:rFonts w:ascii="Arial" w:hAnsi="Arial" w:cs="Arial"/>
          <w:sz w:val="22"/>
          <w:szCs w:val="22"/>
        </w:rPr>
        <w:t xml:space="preserve">, </w:t>
      </w:r>
      <w:r w:rsidR="005E023A" w:rsidRPr="00F01A00">
        <w:rPr>
          <w:rFonts w:ascii="Arial" w:hAnsi="Arial" w:cs="Arial"/>
          <w:sz w:val="22"/>
          <w:szCs w:val="22"/>
        </w:rPr>
        <w:t xml:space="preserve">purified by Protein </w:t>
      </w:r>
      <w:proofErr w:type="spellStart"/>
      <w:r w:rsidR="005E023A" w:rsidRPr="00F01A00">
        <w:rPr>
          <w:rFonts w:ascii="Arial" w:hAnsi="Arial" w:cs="Arial"/>
          <w:sz w:val="22"/>
          <w:szCs w:val="22"/>
        </w:rPr>
        <w:t>A</w:t>
      </w:r>
      <w:proofErr w:type="spellEnd"/>
      <w:r w:rsidR="005E023A" w:rsidRPr="00F01A00">
        <w:rPr>
          <w:rFonts w:ascii="Arial" w:hAnsi="Arial" w:cs="Arial"/>
          <w:sz w:val="22"/>
          <w:szCs w:val="22"/>
        </w:rPr>
        <w:t xml:space="preserve"> affinity purification and generally yield 1-10 mgs of purified Fab per liter of culture</w:t>
      </w:r>
      <w:r w:rsidR="00F334B2" w:rsidRPr="00F01A00">
        <w:rPr>
          <w:rFonts w:ascii="Arial" w:hAnsi="Arial" w:cs="Arial"/>
          <w:sz w:val="22"/>
          <w:szCs w:val="22"/>
        </w:rPr>
        <w:t xml:space="preserve"> </w:t>
      </w:r>
      <w:r w:rsidR="00E463B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mvWxWhtE","properties":{"formattedCitation":"[7]","plainCitation":"[7]","noteIndex":0},"citationItems":[{"id":"peimv2KQ/sOYJXEKm","uris":["http://www.mendeley.com/documents/?uuid=cb19befc-e74b-4c56-8268-44bbf76da70f"],"itemData":{"DOI":"10.1074/mcp.O115.052209","ISBN":"1535-9476","ISSN":"1535-9476","PMID":"26290498","author":[{"dropping-particle":"","family":"Hornsby","given":"Michael","non-dropping-particle":"","parse-names":false,"suffix":""},{"dropping-particle":"","family":"Paduch","given":"Marcin","non-dropping-particle":"","parse-names":false,"suffix":""},{"dropping-particle":"","family":"Miersch","given":"Shane","non-dropping-particle":"","parse-names":false,"suffix":""},{"dropping-particle":"","family":"Sääf","given":"Annika","non-dropping-particle":"","parse-names":false,"suffix":""},{"dropping-particle":"","family":"Matsuguchi","given":"Tet","non-dropping-particle":"","parse-names":false,"suffix":""},{"dropping-particle":"","family":"Lee","given":"Brian","non-dropping-particle":"","parse-names":false,"suffix":""},{"dropping-particle":"","family":"Wypisniak","given":"Karolina","non-dropping-particle":"","parse-names":false,"suffix":""},{"dropping-particle":"","family":"Doak","given":"Allison","non-dropping-particle":"","parse-names":false,"suffix":""},{"dropping-particle":"","family":"King","given":"Daniel","non-dropping-particle":"","parse-names":false,"suffix":""},{"dropping-particle":"","family":"Usatyuk","given":"Svitlana","non-dropping-particle":"","parse-names":false,"suffix":""},{"dropping-particle":"","family":"Perry","given":"Kimberly","non-dropping-particle":"","parse-names":false,"suffix":""},{"dropping-particle":"","family":"Lu","given":"Vince","non-dropping-particle":"","parse-names":false,"suffix":""},{"dropping-particle":"","family":"Thomas","given":"William","non-dropping-particle":"","parse-names":false,"suffix":""},{"dropping-particle":"","family":"Luke","given":"Judy","non-dropping-particle":"","parse-names":false,"suffix":""},{"dropping-particle":"","family":"Goodman","given":"Jay","non-dropping-particle":"","parse-names":false,"suffix":""},{"dropping-particle":"","family":"Hoey","given":"Robert J.","non-dropping-particle":"","parse-names":false,"suffix":""},{"dropping-particle":"","family":"Lai","given":"Darson","non-dropping-particle":"","parse-names":false,"suffix":""},{"dropping-particle":"","family":"Griffin","given":"Carly","non-dropping-particle":"","parse-names":false,"suffix":""},{"dropping-particle":"","family":"Li","given":"Zhijian","non-dropping-particle":"","parse-names":false,"suffix":""},{"dropping-particle":"","family":"Vizeacoumar","given":"Franco J.","non-dropping-particle":"","parse-names":false,"suffix":""},{"dropping-particle":"","family":"Dong","given":"Debbie","non-dropping-particle":"","parse-names":false,"suffix":""},{"dropping-particle":"","family":"Campbell","given":"Elliot","non-dropping-particle":"","parse-names":false,"suffix":""},{"dropping-particle":"","family":"Anderson","given":"Stephen","non-dropping-particle":"","parse-names":false,"suffix":""},{"dropping-particle":"","family":"Zhong","given":"Nan","non-dropping-particle":"","parse-names":false,"suffix":""},{"dropping-particle":"","family":"Gräslund","given":"Susanne","non-dropping-particle":"","parse-names":false,"suffix":""},{"dropping-particle":"","family":"Koide","given":"Shohei","non-dropping-particle":"","parse-names":false,"suffix":""},{"dropping-particle":"","family":"Moffat","given":"Jason","non-dropping-particle":"","parse-names":false,"suffix":""},{"dropping-particle":"","family":"Sidhu","given":"Sachdev","non-dropping-particle":"","parse-names":false,"suffix":""},{"dropping-particle":"","family":"Kossiakoff","given":"Anthony","non-dropping-particle":"","parse-names":false,"suffix":""},{"dropping-particle":"","family":"Wells","given":"James","non-dropping-particle":"","parse-names":false,"suffix":""}],"container-title":"Molecular &amp; Cellular Proteomics","id":"ITEM-1","issue":"10","issued":{"date-parts":[["2015"]]},"page":"2833-2847","title":"A High Through-put Platform for Recombinant Antibodies to Folded Proteins","type":"article-journal","volume":"14"}}],"schema":"https://github.com/citation-style-language/schema/raw/master/csl-citation.json"} </w:instrText>
      </w:r>
      <w:r w:rsidR="00E463BA" w:rsidRPr="00F01A00">
        <w:rPr>
          <w:rFonts w:ascii="Arial" w:hAnsi="Arial" w:cs="Arial"/>
          <w:sz w:val="22"/>
          <w:szCs w:val="22"/>
        </w:rPr>
        <w:fldChar w:fldCharType="separate"/>
      </w:r>
      <w:r w:rsidR="00AB3BB1" w:rsidRPr="00F01A00">
        <w:rPr>
          <w:rFonts w:ascii="Arial" w:hAnsi="Arial" w:cs="Arial"/>
          <w:noProof/>
          <w:sz w:val="22"/>
          <w:szCs w:val="22"/>
        </w:rPr>
        <w:t>[7]</w:t>
      </w:r>
      <w:r w:rsidR="00E463BA" w:rsidRPr="00F01A00">
        <w:rPr>
          <w:rFonts w:ascii="Arial" w:hAnsi="Arial" w:cs="Arial"/>
          <w:sz w:val="22"/>
          <w:szCs w:val="22"/>
        </w:rPr>
        <w:fldChar w:fldCharType="end"/>
      </w:r>
      <w:r w:rsidR="005E023A" w:rsidRPr="00F01A00">
        <w:rPr>
          <w:rFonts w:ascii="Arial" w:hAnsi="Arial" w:cs="Arial"/>
          <w:sz w:val="22"/>
          <w:szCs w:val="22"/>
        </w:rPr>
        <w:t>. An optimized and semi-automated pipeline will be utilized to characterize the affinities and specificities of the engineered Fabs. We typically measure IC</w:t>
      </w:r>
      <w:r w:rsidR="005E023A" w:rsidRPr="00F01A00">
        <w:rPr>
          <w:rFonts w:ascii="Arial" w:hAnsi="Arial" w:cs="Arial"/>
          <w:sz w:val="22"/>
          <w:szCs w:val="22"/>
          <w:vertAlign w:val="subscript"/>
        </w:rPr>
        <w:t>50</w:t>
      </w:r>
      <w:r w:rsidR="005E023A" w:rsidRPr="00F01A00">
        <w:rPr>
          <w:rFonts w:ascii="Arial" w:hAnsi="Arial" w:cs="Arial"/>
          <w:sz w:val="22"/>
          <w:szCs w:val="22"/>
        </w:rPr>
        <w:t xml:space="preserve"> by standard competition ELISA, and </w:t>
      </w:r>
      <w:proofErr w:type="spellStart"/>
      <w:r w:rsidR="005E023A" w:rsidRPr="00F01A00">
        <w:rPr>
          <w:rFonts w:ascii="Arial" w:hAnsi="Arial" w:cs="Arial"/>
          <w:i/>
          <w:sz w:val="22"/>
          <w:szCs w:val="22"/>
        </w:rPr>
        <w:t>K</w:t>
      </w:r>
      <w:r w:rsidR="005E023A" w:rsidRPr="00F01A00">
        <w:rPr>
          <w:rFonts w:ascii="Arial" w:hAnsi="Arial" w:cs="Arial"/>
          <w:i/>
          <w:sz w:val="22"/>
          <w:szCs w:val="22"/>
          <w:vertAlign w:val="subscript"/>
        </w:rPr>
        <w:t>d</w:t>
      </w:r>
      <w:proofErr w:type="spellEnd"/>
      <w:r w:rsidR="005E023A" w:rsidRPr="00F01A00">
        <w:rPr>
          <w:rFonts w:ascii="Arial" w:hAnsi="Arial" w:cs="Arial"/>
          <w:sz w:val="22"/>
          <w:szCs w:val="22"/>
        </w:rPr>
        <w:t xml:space="preserve"> using bio-layer interferometry (Octet RED384, </w:t>
      </w:r>
      <w:proofErr w:type="spellStart"/>
      <w:r w:rsidR="005E023A" w:rsidRPr="00F01A00">
        <w:rPr>
          <w:rFonts w:ascii="Arial" w:hAnsi="Arial" w:cs="Arial"/>
          <w:sz w:val="22"/>
          <w:szCs w:val="22"/>
        </w:rPr>
        <w:t>ForteBio</w:t>
      </w:r>
      <w:proofErr w:type="spellEnd"/>
      <w:r w:rsidR="005E023A" w:rsidRPr="00F01A00">
        <w:rPr>
          <w:rFonts w:ascii="Arial" w:hAnsi="Arial" w:cs="Arial"/>
          <w:sz w:val="22"/>
          <w:szCs w:val="22"/>
        </w:rPr>
        <w:t xml:space="preserve">). </w:t>
      </w:r>
      <w:r w:rsidR="00E64BF5" w:rsidRPr="00F01A00">
        <w:rPr>
          <w:rFonts w:ascii="Arial" w:hAnsi="Arial" w:cs="Arial"/>
          <w:sz w:val="22"/>
          <w:szCs w:val="22"/>
        </w:rPr>
        <w:t>T</w:t>
      </w:r>
      <w:r w:rsidR="005E023A" w:rsidRPr="00F01A00">
        <w:rPr>
          <w:rFonts w:ascii="Arial" w:hAnsi="Arial" w:cs="Arial"/>
          <w:sz w:val="22"/>
          <w:szCs w:val="22"/>
        </w:rPr>
        <w:t xml:space="preserve">he </w:t>
      </w:r>
      <w:proofErr w:type="spellStart"/>
      <w:r w:rsidR="005E023A" w:rsidRPr="00F01A00">
        <w:rPr>
          <w:rFonts w:ascii="Arial" w:hAnsi="Arial" w:cs="Arial"/>
          <w:i/>
          <w:sz w:val="22"/>
          <w:szCs w:val="22"/>
        </w:rPr>
        <w:t>K</w:t>
      </w:r>
      <w:r w:rsidR="005E023A" w:rsidRPr="00F01A00">
        <w:rPr>
          <w:rFonts w:ascii="Arial" w:hAnsi="Arial" w:cs="Arial"/>
          <w:sz w:val="22"/>
          <w:szCs w:val="22"/>
          <w:vertAlign w:val="subscript"/>
        </w:rPr>
        <w:t>d</w:t>
      </w:r>
      <w:proofErr w:type="spellEnd"/>
      <w:r w:rsidR="005E023A" w:rsidRPr="00F01A00">
        <w:rPr>
          <w:rFonts w:ascii="Arial" w:hAnsi="Arial" w:cs="Arial"/>
          <w:sz w:val="22"/>
          <w:szCs w:val="22"/>
        </w:rPr>
        <w:t xml:space="preserve"> values for most of these antibodies are in the low nano-molar range (avg </w:t>
      </w:r>
      <w:proofErr w:type="spellStart"/>
      <w:r w:rsidR="005E023A" w:rsidRPr="00F01A00">
        <w:rPr>
          <w:rFonts w:ascii="Arial" w:hAnsi="Arial" w:cs="Arial"/>
          <w:i/>
          <w:sz w:val="22"/>
          <w:szCs w:val="22"/>
        </w:rPr>
        <w:t>K</w:t>
      </w:r>
      <w:r w:rsidR="005E023A" w:rsidRPr="00F01A00">
        <w:rPr>
          <w:rFonts w:ascii="Arial" w:hAnsi="Arial" w:cs="Arial"/>
          <w:sz w:val="22"/>
          <w:szCs w:val="22"/>
          <w:vertAlign w:val="subscript"/>
        </w:rPr>
        <w:t>d</w:t>
      </w:r>
      <w:proofErr w:type="spellEnd"/>
      <w:r w:rsidR="005E023A" w:rsidRPr="00F01A00">
        <w:rPr>
          <w:rFonts w:ascii="Arial" w:hAnsi="Arial" w:cs="Arial"/>
          <w:sz w:val="22"/>
          <w:szCs w:val="22"/>
        </w:rPr>
        <w:t xml:space="preserve"> ~10nM), which is sufficient for the work planned</w:t>
      </w:r>
      <w:r w:rsidR="005E023A" w:rsidRPr="00F01A00">
        <w:rPr>
          <w:rFonts w:ascii="Arial" w:hAnsi="Arial" w:cs="Arial"/>
          <w:b/>
          <w:sz w:val="22"/>
          <w:szCs w:val="22"/>
        </w:rPr>
        <w:t>.</w:t>
      </w:r>
      <w:r w:rsidR="005E023A" w:rsidRPr="00F01A00">
        <w:rPr>
          <w:rFonts w:ascii="Arial" w:hAnsi="Arial" w:cs="Arial"/>
          <w:sz w:val="22"/>
          <w:szCs w:val="22"/>
        </w:rPr>
        <w:t xml:space="preserve"> The Fabs are easily converted to </w:t>
      </w:r>
      <w:proofErr w:type="spellStart"/>
      <w:r w:rsidR="005E023A" w:rsidRPr="00F01A00">
        <w:rPr>
          <w:rFonts w:ascii="Arial" w:hAnsi="Arial" w:cs="Arial"/>
          <w:sz w:val="22"/>
          <w:szCs w:val="22"/>
        </w:rPr>
        <w:t>IgGs</w:t>
      </w:r>
      <w:proofErr w:type="spellEnd"/>
      <w:r w:rsidR="005E023A" w:rsidRPr="00F01A00">
        <w:rPr>
          <w:rFonts w:ascii="Arial" w:hAnsi="Arial" w:cs="Arial"/>
          <w:sz w:val="22"/>
          <w:szCs w:val="22"/>
        </w:rPr>
        <w:t xml:space="preserve"> by fusion to Fc domains. The bivalent IgG format typically produces a </w:t>
      </w:r>
      <w:proofErr w:type="gramStart"/>
      <w:r w:rsidR="005E023A" w:rsidRPr="00F01A00">
        <w:rPr>
          <w:rFonts w:ascii="Arial" w:hAnsi="Arial" w:cs="Arial"/>
          <w:sz w:val="22"/>
          <w:szCs w:val="22"/>
        </w:rPr>
        <w:t>10-100 fold</w:t>
      </w:r>
      <w:proofErr w:type="gramEnd"/>
      <w:r w:rsidR="005E023A" w:rsidRPr="00F01A00">
        <w:rPr>
          <w:rFonts w:ascii="Arial" w:hAnsi="Arial" w:cs="Arial"/>
          <w:sz w:val="22"/>
          <w:szCs w:val="22"/>
        </w:rPr>
        <w:t xml:space="preserve"> improvement in binding affinity to membrane proteins by the well-known avidity effect. In the unlikely event that the lead Fab candidates or IgG conversions do not possess the sufficient affinity, we can conduct routine rounds of affinity maturation to improve Fab </w:t>
      </w:r>
      <w:proofErr w:type="spellStart"/>
      <w:r w:rsidR="005E023A" w:rsidRPr="00F01A00">
        <w:rPr>
          <w:rFonts w:ascii="Arial" w:hAnsi="Arial" w:cs="Arial"/>
          <w:i/>
          <w:sz w:val="22"/>
          <w:szCs w:val="22"/>
        </w:rPr>
        <w:t>K</w:t>
      </w:r>
      <w:r w:rsidR="005E023A" w:rsidRPr="00F01A00">
        <w:rPr>
          <w:rFonts w:ascii="Arial" w:hAnsi="Arial" w:cs="Arial"/>
          <w:sz w:val="22"/>
          <w:szCs w:val="22"/>
          <w:vertAlign w:val="subscript"/>
        </w:rPr>
        <w:t>d</w:t>
      </w:r>
      <w:proofErr w:type="spellEnd"/>
      <w:r w:rsidR="005E023A" w:rsidRPr="00F01A00">
        <w:rPr>
          <w:rFonts w:ascii="Arial" w:hAnsi="Arial" w:cs="Arial"/>
          <w:sz w:val="22"/>
          <w:szCs w:val="22"/>
        </w:rPr>
        <w:t xml:space="preserve"> values to the picomolar range</w:t>
      </w:r>
      <w:r w:rsidR="0005073A" w:rsidRPr="00F01A00">
        <w:rPr>
          <w:rFonts w:ascii="Arial" w:hAnsi="Arial" w:cs="Arial"/>
          <w:sz w:val="22"/>
          <w:szCs w:val="22"/>
        </w:rPr>
        <w:t xml:space="preserve"> </w:t>
      </w:r>
      <w:r w:rsidR="0005073A" w:rsidRPr="00F01A00">
        <w:rPr>
          <w:rFonts w:ascii="Arial" w:hAnsi="Arial" w:cs="Arial"/>
          <w:sz w:val="22"/>
          <w:szCs w:val="22"/>
        </w:rPr>
        <w:fldChar w:fldCharType="begin" w:fldLock="1"/>
      </w:r>
      <w:r w:rsidR="00081E72" w:rsidRPr="00F01A00">
        <w:rPr>
          <w:rFonts w:ascii="Arial" w:hAnsi="Arial" w:cs="Arial"/>
          <w:sz w:val="22"/>
          <w:szCs w:val="22"/>
        </w:rPr>
        <w:instrText xml:space="preserve"> ADDIN ZOTERO_ITEM CSL_CITATION {"citationID":"4lIq5z4a","properties":{"formattedCitation":"[19]","plainCitation":"[19]","noteIndex":0},"citationItems":[{"id":"peimv2KQ/RMomjZyV","uris":["http://www.mendeley.com/documents/?uuid=a9ee4c36-b8b8-43e0-9645-714e2a78efa9"],"itemData":{"DOI":"10.1016/j.jmb.2006.07.027","ISSN":"0022-2836","PMID":"16962610","abstract":"Bovine spongiform encephalopathy (BSE) is a fatal neurodegenerative prion disease affecting cattle that is transmissible to humans, manifesting as a variant of Creutzfeldt-Jakob disease (vCJD) likely following the consumption of meat contaminated with BSE prions. High-affinity antibodies are a prerequisite for the development of simple, highly sensitive and non-invasive diagnostic tests that are able to detect even small amounts of the disease-associated PrP conformer (PrP(Sc)). We describe here the affinity maturation of a single-chain Fv antibody fragment with a binding affinity of 1 pM to a peptide derived from the unstructured region of bovine PrP (BoPrP (90-105)). This is the tightest peptide-binding antibody reported to date and may find useful application in diagnostics, especially when PrP(Sc) is pretreated by denaturation and/or proteolysis for peptide-like presentation. Several rounds of directed evolution and off-rate selection with ribosome display were performed using an antibody library generated from a single PrP binder with error-prone PCR and DNA-shuffling. As the correct determinations of affinities in this range are not straightforward, competition biosensor techniques and KinExA methods were both applied and compared. Structural interpretation of the affinity improvement was performed based on the crystal structure of the original prion binder in complex with the BoPrP (95-104) peptide by modeling the corresponding mutations.","author":[{"dropping-particle":"","family":"Luginbühl","given":"Béatrice","non-dropping-particle":"","parse-names":false,"suffix":""},{"dropping-particle":"","family":"Kanyo","given":"Zoltan","non-dropping-particle":"","parse-names":false,"suffix":""},{"dropping-particle":"","family":"Jones","given":"R Mark","non-dropping-particle":"","parse-names":false,"suffix":""},{"dropping-particle":"","family":"Fletterick","given":"Robert J","non-dropping-particle":"","parse-names":false,"suffix":""},{"dropping-particle":"","family":"Prusiner","given":"Stanley B","non-dropping-particle":"","parse-names":false,"suffix":""},{"dropping-particle":"","family":"Cohen","given":"Fred E","non-dropping-particle":"","parse-names":false,"suffix":""},{"dropping-particle":"","family":"Williamson","given":"R Anthony","non-dropping-particle":"","parse-names":false,"suffix":""},{"dropping-particle":"","family":"Burton","given":"Dennis R","non-dropping-particle":"","parse-names":false,"suffix":""},{"dropping-particle":"","family":"Plückthun","given":"Andreas","non-dropping-particle":"","parse-names":false,"suffix":""}],"container-title":"Journal of molecular biology","id":"ITEM-1","issue":"1","issued":{"date-parts":[["2006","10","13"]]},"page":"75-97","title":"Directed evolution of an anti-prion protein scFv fragment to an affinity of 1 pM and its structural interpretation.","type":"article-journal","volume":"363"}}],"schema":"https://github.com/citation-style-language/schema/raw/master/csl-citation.json"} </w:instrText>
      </w:r>
      <w:r w:rsidR="0005073A" w:rsidRPr="00F01A00">
        <w:rPr>
          <w:rFonts w:ascii="Arial" w:hAnsi="Arial" w:cs="Arial"/>
          <w:sz w:val="22"/>
          <w:szCs w:val="22"/>
        </w:rPr>
        <w:fldChar w:fldCharType="separate"/>
      </w:r>
      <w:r w:rsidR="00AB3BB1" w:rsidRPr="00F01A00">
        <w:rPr>
          <w:rFonts w:ascii="Arial" w:hAnsi="Arial" w:cs="Arial"/>
          <w:noProof/>
          <w:sz w:val="22"/>
          <w:szCs w:val="22"/>
        </w:rPr>
        <w:t>[19]</w:t>
      </w:r>
      <w:r w:rsidR="0005073A" w:rsidRPr="00F01A00">
        <w:rPr>
          <w:rFonts w:ascii="Arial" w:hAnsi="Arial" w:cs="Arial"/>
          <w:sz w:val="22"/>
          <w:szCs w:val="22"/>
        </w:rPr>
        <w:fldChar w:fldCharType="end"/>
      </w:r>
      <w:r w:rsidR="0005073A" w:rsidRPr="00F01A00">
        <w:rPr>
          <w:rFonts w:ascii="Arial" w:hAnsi="Arial" w:cs="Arial"/>
        </w:rPr>
        <w:t xml:space="preserve">. </w:t>
      </w:r>
      <w:r w:rsidR="002B17FB" w:rsidRPr="00F01A00">
        <w:rPr>
          <w:rFonts w:ascii="Arial" w:hAnsi="Arial" w:cs="Arial"/>
          <w:sz w:val="22"/>
          <w:szCs w:val="22"/>
        </w:rPr>
        <w:t xml:space="preserve">We routinely use size exclusion chromatography (SEC) to assess the solubility and triage antibodies prone to aggregation. </w:t>
      </w:r>
    </w:p>
    <w:p w14:paraId="13A9C464" w14:textId="7CA98EC3" w:rsidR="005E023A" w:rsidRPr="00F01A00" w:rsidRDefault="005E023A" w:rsidP="00AB2151">
      <w:pPr>
        <w:pStyle w:val="ListParagraph"/>
        <w:ind w:left="0" w:firstLine="720"/>
        <w:jc w:val="both"/>
        <w:rPr>
          <w:rFonts w:ascii="Arial" w:hAnsi="Arial" w:cs="Arial"/>
          <w:sz w:val="22"/>
          <w:szCs w:val="22"/>
        </w:rPr>
      </w:pPr>
      <w:r w:rsidRPr="00F01A00">
        <w:rPr>
          <w:rFonts w:ascii="Arial" w:hAnsi="Arial" w:cs="Arial"/>
          <w:sz w:val="22"/>
          <w:szCs w:val="22"/>
        </w:rPr>
        <w:tab/>
      </w:r>
    </w:p>
    <w:p w14:paraId="72DFEEE4" w14:textId="7BFB67A3" w:rsidR="005E023A" w:rsidRPr="00F01A00" w:rsidRDefault="004A25CE" w:rsidP="00AB2151">
      <w:pPr>
        <w:pStyle w:val="ListParagraph"/>
        <w:ind w:left="0" w:firstLine="720"/>
        <w:jc w:val="both"/>
        <w:rPr>
          <w:rFonts w:ascii="Arial" w:hAnsi="Arial" w:cs="Arial"/>
          <w:sz w:val="22"/>
          <w:szCs w:val="22"/>
        </w:rPr>
      </w:pPr>
      <w:r w:rsidRPr="00F01A00">
        <w:rPr>
          <w:rFonts w:ascii="Arial" w:hAnsi="Arial" w:cs="Arial"/>
          <w:b/>
          <w:bCs/>
          <w:i/>
          <w:sz w:val="22"/>
          <w:szCs w:val="22"/>
        </w:rPr>
        <w:t>v</w:t>
      </w:r>
      <w:r w:rsidR="005E023A" w:rsidRPr="00F01A00">
        <w:rPr>
          <w:rFonts w:ascii="Arial" w:hAnsi="Arial" w:cs="Arial"/>
          <w:b/>
          <w:bCs/>
          <w:i/>
          <w:sz w:val="22"/>
          <w:szCs w:val="22"/>
        </w:rPr>
        <w:t>. Analyzing antibody specificity and validating antibodies as</w:t>
      </w:r>
      <w:r w:rsidR="00DB0E72" w:rsidRPr="00F01A00">
        <w:rPr>
          <w:rFonts w:ascii="Arial" w:hAnsi="Arial" w:cs="Arial"/>
          <w:b/>
          <w:bCs/>
          <w:i/>
          <w:sz w:val="22"/>
          <w:szCs w:val="22"/>
        </w:rPr>
        <w:t xml:space="preserve"> cellular</w:t>
      </w:r>
      <w:r w:rsidR="005E023A" w:rsidRPr="00F01A00">
        <w:rPr>
          <w:rFonts w:ascii="Arial" w:hAnsi="Arial" w:cs="Arial"/>
          <w:b/>
          <w:bCs/>
          <w:i/>
          <w:sz w:val="22"/>
          <w:szCs w:val="22"/>
        </w:rPr>
        <w:t xml:space="preserve"> imaging reagents.</w:t>
      </w:r>
      <w:r w:rsidR="005E023A" w:rsidRPr="00F01A00">
        <w:rPr>
          <w:rFonts w:ascii="Arial" w:hAnsi="Arial" w:cs="Arial"/>
          <w:b/>
          <w:bCs/>
          <w:sz w:val="22"/>
          <w:szCs w:val="22"/>
        </w:rPr>
        <w:t xml:space="preserve"> </w:t>
      </w:r>
      <w:r w:rsidR="005E023A" w:rsidRPr="00F01A00">
        <w:rPr>
          <w:rFonts w:ascii="Arial" w:hAnsi="Arial" w:cs="Arial"/>
          <w:sz w:val="22"/>
          <w:szCs w:val="22"/>
        </w:rPr>
        <w:t>To evaluate Fab specificity</w:t>
      </w:r>
      <w:r w:rsidR="00DB0E72" w:rsidRPr="00F01A00">
        <w:rPr>
          <w:rFonts w:ascii="Arial" w:hAnsi="Arial" w:cs="Arial"/>
          <w:sz w:val="22"/>
          <w:szCs w:val="22"/>
        </w:rPr>
        <w:t xml:space="preserve"> </w:t>
      </w:r>
      <w:r w:rsidR="0092683C" w:rsidRPr="00F01A00">
        <w:rPr>
          <w:rFonts w:ascii="Arial" w:hAnsi="Arial" w:cs="Arial"/>
          <w:sz w:val="22"/>
          <w:szCs w:val="22"/>
        </w:rPr>
        <w:t xml:space="preserve">on cells </w:t>
      </w:r>
      <w:r w:rsidR="005E023A" w:rsidRPr="00F01A00">
        <w:rPr>
          <w:rFonts w:ascii="Arial" w:hAnsi="Arial" w:cs="Arial"/>
          <w:sz w:val="22"/>
          <w:szCs w:val="22"/>
        </w:rPr>
        <w:t>we will perform</w:t>
      </w:r>
      <w:r w:rsidR="0092683C" w:rsidRPr="00F01A00">
        <w:rPr>
          <w:rFonts w:ascii="Arial" w:hAnsi="Arial" w:cs="Arial"/>
          <w:sz w:val="22"/>
          <w:szCs w:val="22"/>
        </w:rPr>
        <w:t xml:space="preserve"> binding studies using</w:t>
      </w:r>
      <w:r w:rsidR="005E023A" w:rsidRPr="00F01A00">
        <w:rPr>
          <w:rFonts w:ascii="Arial" w:hAnsi="Arial" w:cs="Arial"/>
          <w:sz w:val="22"/>
          <w:szCs w:val="22"/>
        </w:rPr>
        <w:t xml:space="preserve"> immunofluorescence (IF) assays </w:t>
      </w:r>
      <w:r w:rsidR="0092683C" w:rsidRPr="00F01A00">
        <w:rPr>
          <w:rFonts w:ascii="Arial" w:hAnsi="Arial" w:cs="Arial"/>
          <w:sz w:val="22"/>
          <w:szCs w:val="22"/>
        </w:rPr>
        <w:t>on cell</w:t>
      </w:r>
      <w:r w:rsidR="00FD15D6" w:rsidRPr="00F01A00">
        <w:rPr>
          <w:rFonts w:ascii="Arial" w:hAnsi="Arial" w:cs="Arial"/>
          <w:sz w:val="22"/>
          <w:szCs w:val="22"/>
        </w:rPr>
        <w:t>s</w:t>
      </w:r>
      <w:r w:rsidR="0092683C" w:rsidRPr="00F01A00">
        <w:rPr>
          <w:rFonts w:ascii="Arial" w:hAnsi="Arial" w:cs="Arial"/>
          <w:sz w:val="22"/>
          <w:szCs w:val="22"/>
        </w:rPr>
        <w:t xml:space="preserve"> engineered to display the parent target surface protein vs a decoy</w:t>
      </w:r>
      <w:r w:rsidR="005E023A" w:rsidRPr="00F01A00">
        <w:rPr>
          <w:rFonts w:ascii="Arial" w:hAnsi="Arial" w:cs="Arial"/>
          <w:sz w:val="22"/>
          <w:szCs w:val="22"/>
        </w:rPr>
        <w:t xml:space="preserve">. Fabs are allowed to bind intact cells, and detected by staining with a protein A AlexaFluor546 conjugate.  Only those Fabs that show co-localized binding with the </w:t>
      </w:r>
      <w:r w:rsidR="00DB0E72" w:rsidRPr="00F01A00">
        <w:rPr>
          <w:rFonts w:ascii="Arial" w:hAnsi="Arial" w:cs="Arial"/>
          <w:sz w:val="22"/>
          <w:szCs w:val="22"/>
        </w:rPr>
        <w:t>cell-</w:t>
      </w:r>
      <w:r w:rsidR="005E023A" w:rsidRPr="00F01A00">
        <w:rPr>
          <w:rFonts w:ascii="Arial" w:hAnsi="Arial" w:cs="Arial"/>
          <w:sz w:val="22"/>
          <w:szCs w:val="22"/>
        </w:rPr>
        <w:t>displayed cognate antigen, and no</w:t>
      </w:r>
      <w:r w:rsidR="0092683C" w:rsidRPr="00F01A00">
        <w:rPr>
          <w:rFonts w:ascii="Arial" w:hAnsi="Arial" w:cs="Arial"/>
          <w:sz w:val="22"/>
          <w:szCs w:val="22"/>
        </w:rPr>
        <w:t>t on the decoy cell line</w:t>
      </w:r>
      <w:r w:rsidR="005E023A" w:rsidRPr="00F01A00">
        <w:rPr>
          <w:rFonts w:ascii="Arial" w:hAnsi="Arial" w:cs="Arial"/>
          <w:sz w:val="22"/>
          <w:szCs w:val="22"/>
        </w:rPr>
        <w:t xml:space="preserve"> will be advanced. To further validate binding, we will perform flow cytometry staining on cells</w:t>
      </w:r>
      <w:r w:rsidR="005E2690">
        <w:rPr>
          <w:rFonts w:ascii="Arial" w:hAnsi="Arial" w:cs="Arial"/>
          <w:sz w:val="22"/>
          <w:szCs w:val="22"/>
        </w:rPr>
        <w:t xml:space="preserve"> overexpressing the target of </w:t>
      </w:r>
      <w:proofErr w:type="gramStart"/>
      <w:r w:rsidR="005E2690">
        <w:rPr>
          <w:rFonts w:ascii="Arial" w:hAnsi="Arial" w:cs="Arial"/>
          <w:sz w:val="22"/>
          <w:szCs w:val="22"/>
        </w:rPr>
        <w:t xml:space="preserve">interest </w:t>
      </w:r>
      <w:r w:rsidR="005E023A" w:rsidRPr="00F01A00">
        <w:rPr>
          <w:rFonts w:ascii="Arial" w:hAnsi="Arial" w:cs="Arial"/>
          <w:sz w:val="22"/>
          <w:szCs w:val="22"/>
        </w:rPr>
        <w:t xml:space="preserve"> used</w:t>
      </w:r>
      <w:proofErr w:type="gramEnd"/>
      <w:r w:rsidR="005E023A" w:rsidRPr="00F01A00">
        <w:rPr>
          <w:rFonts w:ascii="Arial" w:hAnsi="Arial" w:cs="Arial"/>
          <w:sz w:val="22"/>
          <w:szCs w:val="22"/>
        </w:rPr>
        <w:t xml:space="preserve"> in </w:t>
      </w:r>
      <w:r w:rsidR="00DB0E72" w:rsidRPr="00F01A00">
        <w:rPr>
          <w:rFonts w:ascii="Arial" w:hAnsi="Arial" w:cs="Arial"/>
          <w:b/>
          <w:bCs/>
          <w:sz w:val="22"/>
          <w:szCs w:val="22"/>
        </w:rPr>
        <w:t>A</w:t>
      </w:r>
      <w:r w:rsidR="005E023A" w:rsidRPr="00F01A00">
        <w:rPr>
          <w:rFonts w:ascii="Arial" w:hAnsi="Arial" w:cs="Arial"/>
          <w:b/>
          <w:bCs/>
          <w:sz w:val="22"/>
          <w:szCs w:val="22"/>
        </w:rPr>
        <w:t>im 1</w:t>
      </w:r>
      <w:r w:rsidR="0092683C" w:rsidRPr="00F01A00">
        <w:rPr>
          <w:rFonts w:ascii="Arial" w:hAnsi="Arial" w:cs="Arial"/>
          <w:b/>
          <w:bCs/>
          <w:sz w:val="22"/>
          <w:szCs w:val="22"/>
        </w:rPr>
        <w:t xml:space="preserve"> </w:t>
      </w:r>
      <w:r w:rsidR="0092683C" w:rsidRPr="00F01A00">
        <w:rPr>
          <w:rFonts w:ascii="Arial" w:hAnsi="Arial" w:cs="Arial"/>
          <w:sz w:val="22"/>
          <w:szCs w:val="22"/>
        </w:rPr>
        <w:t>from where the target was identified</w:t>
      </w:r>
      <w:r w:rsidR="005E023A" w:rsidRPr="00F01A00">
        <w:rPr>
          <w:rFonts w:ascii="Arial" w:hAnsi="Arial" w:cs="Arial"/>
          <w:sz w:val="22"/>
          <w:szCs w:val="22"/>
        </w:rPr>
        <w:t>.</w:t>
      </w:r>
      <w:r w:rsidR="008B2596" w:rsidRPr="00F01A00">
        <w:rPr>
          <w:rFonts w:ascii="Arial" w:hAnsi="Arial" w:cs="Arial"/>
          <w:sz w:val="22"/>
          <w:szCs w:val="22"/>
        </w:rPr>
        <w:t xml:space="preserve"> Using this validation, we hope to identify up to </w:t>
      </w:r>
      <w:r w:rsidR="005E2690">
        <w:rPr>
          <w:rFonts w:ascii="Arial" w:hAnsi="Arial" w:cs="Arial"/>
          <w:sz w:val="22"/>
          <w:szCs w:val="22"/>
        </w:rPr>
        <w:t>24</w:t>
      </w:r>
      <w:r w:rsidR="008B2596" w:rsidRPr="00F01A00">
        <w:rPr>
          <w:rFonts w:ascii="Arial" w:hAnsi="Arial" w:cs="Arial"/>
          <w:sz w:val="22"/>
          <w:szCs w:val="22"/>
        </w:rPr>
        <w:t xml:space="preserve"> highly specific antibodies </w:t>
      </w:r>
      <w:r w:rsidR="005E2690">
        <w:rPr>
          <w:rFonts w:ascii="Arial" w:hAnsi="Arial" w:cs="Arial"/>
          <w:sz w:val="22"/>
          <w:szCs w:val="22"/>
        </w:rPr>
        <w:t xml:space="preserve">(up to 4 antibodies for each antigen) </w:t>
      </w:r>
      <w:r w:rsidR="008B2596" w:rsidRPr="00F01A00">
        <w:rPr>
          <w:rFonts w:ascii="Arial" w:hAnsi="Arial" w:cs="Arial"/>
          <w:sz w:val="22"/>
          <w:szCs w:val="22"/>
        </w:rPr>
        <w:t xml:space="preserve">for further </w:t>
      </w:r>
      <w:r w:rsidR="005E2690">
        <w:rPr>
          <w:rFonts w:ascii="Arial" w:hAnsi="Arial" w:cs="Arial"/>
          <w:sz w:val="22"/>
          <w:szCs w:val="22"/>
        </w:rPr>
        <w:t>development into IgG</w:t>
      </w:r>
      <w:r w:rsidR="008B2596" w:rsidRPr="00F01A00">
        <w:rPr>
          <w:rFonts w:ascii="Arial" w:hAnsi="Arial" w:cs="Arial"/>
          <w:sz w:val="22"/>
          <w:szCs w:val="22"/>
        </w:rPr>
        <w:t>.</w:t>
      </w:r>
    </w:p>
    <w:p w14:paraId="1034B796" w14:textId="77777777" w:rsidR="005E023A" w:rsidRPr="00F01A00" w:rsidRDefault="005E023A" w:rsidP="00AB2151">
      <w:pPr>
        <w:jc w:val="both"/>
        <w:rPr>
          <w:rFonts w:ascii="Arial" w:hAnsi="Arial" w:cs="Arial"/>
        </w:rPr>
      </w:pPr>
    </w:p>
    <w:p w14:paraId="2E1AB3AD" w14:textId="76C3D677" w:rsidR="004A25CE" w:rsidRPr="00F01A00" w:rsidRDefault="004A25CE" w:rsidP="00AB2151">
      <w:pPr>
        <w:jc w:val="both"/>
        <w:rPr>
          <w:rFonts w:ascii="Arial" w:hAnsi="Arial" w:cs="Arial"/>
          <w:sz w:val="22"/>
          <w:szCs w:val="22"/>
        </w:rPr>
      </w:pPr>
      <w:r w:rsidRPr="00F01A00">
        <w:rPr>
          <w:rFonts w:ascii="Arial" w:hAnsi="Arial" w:cs="Arial"/>
          <w:b/>
          <w:bCs/>
          <w:sz w:val="22"/>
          <w:szCs w:val="22"/>
        </w:rPr>
        <w:t>Caveats and alternative approaches:</w:t>
      </w:r>
      <w:r w:rsidRPr="00F01A00">
        <w:rPr>
          <w:rFonts w:ascii="Arial" w:hAnsi="Arial" w:cs="Arial"/>
          <w:sz w:val="22"/>
          <w:szCs w:val="22"/>
        </w:rPr>
        <w:t xml:space="preserve"> Recombinant antigen expression </w:t>
      </w:r>
      <w:r w:rsidR="009D7383" w:rsidRPr="00F01A00">
        <w:rPr>
          <w:rFonts w:ascii="Arial" w:hAnsi="Arial" w:cs="Arial"/>
          <w:sz w:val="22"/>
          <w:szCs w:val="22"/>
        </w:rPr>
        <w:t>can be</w:t>
      </w:r>
      <w:r w:rsidRPr="00F01A00">
        <w:rPr>
          <w:rFonts w:ascii="Arial" w:hAnsi="Arial" w:cs="Arial"/>
          <w:sz w:val="22"/>
          <w:szCs w:val="22"/>
        </w:rPr>
        <w:t xml:space="preserve"> a challenge for </w:t>
      </w:r>
      <w:r w:rsidR="009D7383" w:rsidRPr="00F01A00">
        <w:rPr>
          <w:rFonts w:ascii="Arial" w:hAnsi="Arial" w:cs="Arial"/>
          <w:sz w:val="22"/>
          <w:szCs w:val="22"/>
        </w:rPr>
        <w:t>unstable</w:t>
      </w:r>
      <w:r w:rsidRPr="00F01A00">
        <w:rPr>
          <w:rFonts w:ascii="Arial" w:hAnsi="Arial" w:cs="Arial"/>
          <w:sz w:val="22"/>
          <w:szCs w:val="22"/>
        </w:rPr>
        <w:t xml:space="preserve"> proteins. If our standard antigen generation strategy proves inadequate for producing the full-length ectodomain suitable for selections, we will build alternative constructs by expressing subdomains informed by </w:t>
      </w:r>
      <w:r w:rsidR="009D7383" w:rsidRPr="00F01A00">
        <w:rPr>
          <w:rFonts w:ascii="Arial" w:hAnsi="Arial" w:cs="Arial"/>
          <w:sz w:val="22"/>
          <w:szCs w:val="22"/>
        </w:rPr>
        <w:t>known or Alpha Fold predicted</w:t>
      </w:r>
      <w:r w:rsidRPr="00F01A00">
        <w:rPr>
          <w:rFonts w:ascii="Arial" w:hAnsi="Arial" w:cs="Arial"/>
          <w:sz w:val="22"/>
          <w:szCs w:val="22"/>
        </w:rPr>
        <w:t xml:space="preserve"> structure</w:t>
      </w:r>
      <w:r w:rsidR="009D7383" w:rsidRPr="00F01A00">
        <w:rPr>
          <w:rFonts w:ascii="Arial" w:hAnsi="Arial" w:cs="Arial"/>
          <w:sz w:val="22"/>
          <w:szCs w:val="22"/>
        </w:rPr>
        <w:t>. M</w:t>
      </w:r>
      <w:r w:rsidRPr="00F01A00">
        <w:rPr>
          <w:rFonts w:ascii="Arial" w:hAnsi="Arial" w:cs="Arial"/>
          <w:sz w:val="22"/>
          <w:szCs w:val="22"/>
        </w:rPr>
        <w:t>any membrane proteins contain IgG or FNIII like domains</w:t>
      </w:r>
      <w:r w:rsidR="009D7383" w:rsidRPr="00F01A00">
        <w:rPr>
          <w:rFonts w:ascii="Arial" w:hAnsi="Arial" w:cs="Arial"/>
          <w:sz w:val="22"/>
          <w:szCs w:val="22"/>
        </w:rPr>
        <w:t xml:space="preserve"> which can be stably expressed</w:t>
      </w:r>
      <w:r w:rsidR="002B17FB" w:rsidRPr="00F01A00">
        <w:rPr>
          <w:rFonts w:ascii="Arial" w:hAnsi="Arial" w:cs="Arial"/>
          <w:sz w:val="22"/>
          <w:szCs w:val="22"/>
        </w:rPr>
        <w:t>.</w:t>
      </w:r>
      <w:r w:rsidRPr="00F01A00">
        <w:rPr>
          <w:rFonts w:ascii="Arial" w:hAnsi="Arial" w:cs="Arial"/>
          <w:sz w:val="22"/>
          <w:szCs w:val="22"/>
        </w:rPr>
        <w:t xml:space="preserve">  In </w:t>
      </w:r>
      <w:r w:rsidRPr="00F01A00">
        <w:rPr>
          <w:rFonts w:ascii="Arial" w:hAnsi="Arial" w:cs="Arial"/>
          <w:sz w:val="22"/>
          <w:szCs w:val="22"/>
        </w:rPr>
        <w:lastRenderedPageBreak/>
        <w:t xml:space="preserve">the cases where only low affinity antibody binders are found for a given antigen, we will proceed to construct affinity maturation libraries and perform selection campaigns for the most promising antibodies against the top targets. </w:t>
      </w:r>
      <w:r w:rsidR="002B17FB" w:rsidRPr="00F01A00">
        <w:rPr>
          <w:rFonts w:ascii="Arial" w:hAnsi="Arial" w:cs="Arial"/>
          <w:sz w:val="22"/>
          <w:szCs w:val="22"/>
        </w:rPr>
        <w:t>We also use these campaigns to improve the solubilities of candidate antibodies as needed.</w:t>
      </w:r>
    </w:p>
    <w:p w14:paraId="39953799" w14:textId="77777777" w:rsidR="005E2690" w:rsidRDefault="005E2690" w:rsidP="00AB2151">
      <w:pPr>
        <w:widowControl w:val="0"/>
        <w:autoSpaceDE w:val="0"/>
        <w:autoSpaceDN w:val="0"/>
        <w:adjustRightInd w:val="0"/>
        <w:ind w:left="480" w:hanging="480"/>
        <w:jc w:val="both"/>
        <w:rPr>
          <w:rFonts w:ascii="Arial" w:eastAsia="Times New Roman" w:hAnsi="Arial" w:cs="Arial"/>
          <w:b/>
          <w:bCs/>
          <w:color w:val="000000"/>
          <w:sz w:val="22"/>
          <w:szCs w:val="22"/>
        </w:rPr>
      </w:pPr>
    </w:p>
    <w:p w14:paraId="7BAC0EB7" w14:textId="3548814D" w:rsidR="00E463BA" w:rsidRPr="00F01A00" w:rsidRDefault="00E463BA" w:rsidP="00AB2151">
      <w:pPr>
        <w:widowControl w:val="0"/>
        <w:autoSpaceDE w:val="0"/>
        <w:autoSpaceDN w:val="0"/>
        <w:adjustRightInd w:val="0"/>
        <w:ind w:left="480" w:hanging="480"/>
        <w:jc w:val="both"/>
        <w:rPr>
          <w:rFonts w:ascii="Arial" w:eastAsia="Times New Roman" w:hAnsi="Arial" w:cs="Arial"/>
          <w:b/>
          <w:bCs/>
          <w:color w:val="000000"/>
          <w:sz w:val="22"/>
          <w:szCs w:val="22"/>
        </w:rPr>
      </w:pPr>
      <w:r w:rsidRPr="00F01A00">
        <w:rPr>
          <w:rFonts w:ascii="Arial" w:eastAsia="Times New Roman" w:hAnsi="Arial" w:cs="Arial"/>
          <w:b/>
          <w:bCs/>
          <w:color w:val="000000"/>
          <w:sz w:val="22"/>
          <w:szCs w:val="22"/>
        </w:rPr>
        <w:t>References</w:t>
      </w:r>
    </w:p>
    <w:p w14:paraId="4CBB06CC" w14:textId="77777777" w:rsidR="00081E72" w:rsidRPr="00F01A00" w:rsidRDefault="00E463BA" w:rsidP="00081E72">
      <w:pPr>
        <w:pStyle w:val="Bibliography"/>
        <w:rPr>
          <w:rFonts w:ascii="Arial" w:hAnsi="Arial" w:cs="Arial"/>
          <w:sz w:val="22"/>
        </w:rPr>
      </w:pPr>
      <w:r w:rsidRPr="00F01A00">
        <w:rPr>
          <w:rFonts w:ascii="Arial" w:eastAsia="Times New Roman" w:hAnsi="Arial" w:cs="Arial"/>
          <w:color w:val="000000"/>
          <w:sz w:val="22"/>
          <w:szCs w:val="22"/>
        </w:rPr>
        <w:fldChar w:fldCharType="begin" w:fldLock="1"/>
      </w:r>
      <w:r w:rsidR="00081E72" w:rsidRPr="00F01A00">
        <w:rPr>
          <w:rFonts w:ascii="Arial" w:eastAsia="Times New Roman" w:hAnsi="Arial" w:cs="Arial"/>
          <w:color w:val="000000"/>
          <w:sz w:val="22"/>
          <w:szCs w:val="22"/>
        </w:rPr>
        <w:instrText xml:space="preserve"> ADDIN ZOTERO_BIBL {"uncited":[],"omitted":[],"custom":[]} CSL_BIBLIOGRAPHY </w:instrText>
      </w:r>
      <w:r w:rsidRPr="00F01A00">
        <w:rPr>
          <w:rFonts w:ascii="Arial" w:eastAsia="Times New Roman" w:hAnsi="Arial" w:cs="Arial"/>
          <w:color w:val="000000"/>
          <w:sz w:val="22"/>
          <w:szCs w:val="22"/>
        </w:rPr>
        <w:fldChar w:fldCharType="separate"/>
      </w:r>
      <w:r w:rsidR="00081E72" w:rsidRPr="00F01A00">
        <w:rPr>
          <w:rFonts w:ascii="Arial" w:hAnsi="Arial" w:cs="Arial"/>
          <w:sz w:val="22"/>
        </w:rPr>
        <w:t>[1]</w:t>
      </w:r>
      <w:r w:rsidR="00081E72" w:rsidRPr="00F01A00">
        <w:rPr>
          <w:rFonts w:ascii="Arial" w:hAnsi="Arial" w:cs="Arial"/>
          <w:sz w:val="22"/>
        </w:rPr>
        <w:tab/>
        <w:t xml:space="preserve">K. K. Leung, G. M. Wilson, L. L. Kirkemo, N. M. Riley, J. J. Coon, and J. A. Wells, “Broad and thematic remodeling of the surfaceome and glycoproteome on isogenic cells transformed with driving proliferative oncogenes,” </w:t>
      </w:r>
      <w:r w:rsidR="00081E72" w:rsidRPr="00F01A00">
        <w:rPr>
          <w:rFonts w:ascii="Arial" w:hAnsi="Arial" w:cs="Arial"/>
          <w:i/>
          <w:iCs/>
          <w:sz w:val="22"/>
        </w:rPr>
        <w:t>Proc. Natl. Acad. Sci. U. S. A.</w:t>
      </w:r>
      <w:r w:rsidR="00081E72" w:rsidRPr="00F01A00">
        <w:rPr>
          <w:rFonts w:ascii="Arial" w:hAnsi="Arial" w:cs="Arial"/>
          <w:sz w:val="22"/>
        </w:rPr>
        <w:t>, vol. 117, no. 14, pp. 7764–7775, 2020, doi: 10.1073/pnas.1917947117.</w:t>
      </w:r>
    </w:p>
    <w:p w14:paraId="3E00A5CA" w14:textId="77777777" w:rsidR="00081E72" w:rsidRPr="00F01A00" w:rsidRDefault="00081E72" w:rsidP="00081E72">
      <w:pPr>
        <w:pStyle w:val="Bibliography"/>
        <w:rPr>
          <w:rFonts w:ascii="Arial" w:hAnsi="Arial" w:cs="Arial"/>
          <w:sz w:val="22"/>
        </w:rPr>
      </w:pPr>
      <w:r w:rsidRPr="00F01A00">
        <w:rPr>
          <w:rFonts w:ascii="Arial" w:hAnsi="Arial" w:cs="Arial"/>
          <w:sz w:val="22"/>
        </w:rPr>
        <w:t>[2]</w:t>
      </w:r>
      <w:r w:rsidRPr="00F01A00">
        <w:rPr>
          <w:rFonts w:ascii="Arial" w:hAnsi="Arial" w:cs="Arial"/>
          <w:sz w:val="22"/>
        </w:rPr>
        <w:tab/>
        <w:t xml:space="preserve">W. Chen, K. Y. Mou, P. Solomon, R. Aggarwal, K. K. Leung, and J. A. Wells, “Large remodeling of the Myc-induced cell surface proteome in B cells and prostate cells creates new opportunities for immunotherapy.,” </w:t>
      </w:r>
      <w:r w:rsidRPr="00F01A00">
        <w:rPr>
          <w:rFonts w:ascii="Arial" w:hAnsi="Arial" w:cs="Arial"/>
          <w:i/>
          <w:iCs/>
          <w:sz w:val="22"/>
        </w:rPr>
        <w:t>Proc. Natl. Acad. Sci. U. S. A.</w:t>
      </w:r>
      <w:r w:rsidRPr="00F01A00">
        <w:rPr>
          <w:rFonts w:ascii="Arial" w:hAnsi="Arial" w:cs="Arial"/>
          <w:sz w:val="22"/>
        </w:rPr>
        <w:t>, vol. 118, no. 4, pp. 28046–28055, Jan. 2021, doi: 10.1073/pnas.2018861118.</w:t>
      </w:r>
    </w:p>
    <w:p w14:paraId="39E4FC84" w14:textId="77777777" w:rsidR="00081E72" w:rsidRPr="00F01A00" w:rsidRDefault="00081E72" w:rsidP="00081E72">
      <w:pPr>
        <w:pStyle w:val="Bibliography"/>
        <w:rPr>
          <w:rFonts w:ascii="Arial" w:hAnsi="Arial" w:cs="Arial"/>
          <w:sz w:val="22"/>
        </w:rPr>
      </w:pPr>
      <w:r w:rsidRPr="00F01A00">
        <w:rPr>
          <w:rFonts w:ascii="Arial" w:hAnsi="Arial" w:cs="Arial"/>
          <w:sz w:val="22"/>
        </w:rPr>
        <w:t>[3]</w:t>
      </w:r>
      <w:r w:rsidRPr="00F01A00">
        <w:rPr>
          <w:rFonts w:ascii="Arial" w:hAnsi="Arial" w:cs="Arial"/>
          <w:sz w:val="22"/>
        </w:rPr>
        <w:tab/>
        <w:t xml:space="preserve">W. Chen, K. Y. Mou, P. Solomon, R. Aggarwal, K. K. Leung, and J. A. Wells, “Large remodeling of the Myc-induced cell surface proteome in B cells and prostate cells creates new opportunities for immunotherapy,” </w:t>
      </w:r>
      <w:r w:rsidRPr="00F01A00">
        <w:rPr>
          <w:rFonts w:ascii="Arial" w:hAnsi="Arial" w:cs="Arial"/>
          <w:i/>
          <w:iCs/>
          <w:sz w:val="22"/>
        </w:rPr>
        <w:t>Proc. Natl. Acad. Sci. U. S. A.</w:t>
      </w:r>
      <w:r w:rsidRPr="00F01A00">
        <w:rPr>
          <w:rFonts w:ascii="Arial" w:hAnsi="Arial" w:cs="Arial"/>
          <w:sz w:val="22"/>
        </w:rPr>
        <w:t>, vol. 118, no. 4, 2021, doi: 10.1073/pnas.2018861118.</w:t>
      </w:r>
    </w:p>
    <w:p w14:paraId="20B82E65" w14:textId="77777777" w:rsidR="00081E72" w:rsidRPr="00F01A00" w:rsidRDefault="00081E72" w:rsidP="00081E72">
      <w:pPr>
        <w:pStyle w:val="Bibliography"/>
        <w:rPr>
          <w:rFonts w:ascii="Arial" w:hAnsi="Arial" w:cs="Arial"/>
          <w:sz w:val="22"/>
        </w:rPr>
      </w:pPr>
      <w:r w:rsidRPr="00F01A00">
        <w:rPr>
          <w:rFonts w:ascii="Arial" w:hAnsi="Arial" w:cs="Arial"/>
          <w:sz w:val="22"/>
        </w:rPr>
        <w:t>[4]</w:t>
      </w:r>
      <w:r w:rsidRPr="00F01A00">
        <w:rPr>
          <w:rFonts w:ascii="Arial" w:hAnsi="Arial" w:cs="Arial"/>
          <w:sz w:val="22"/>
        </w:rPr>
        <w:tab/>
        <w:t xml:space="preserve">D. Hanahan and R. a Weinberg, “Hallmarks of cancer: the next generation.,” </w:t>
      </w:r>
      <w:r w:rsidRPr="00F01A00">
        <w:rPr>
          <w:rFonts w:ascii="Arial" w:hAnsi="Arial" w:cs="Arial"/>
          <w:i/>
          <w:iCs/>
          <w:sz w:val="22"/>
        </w:rPr>
        <w:t>Cell</w:t>
      </w:r>
      <w:r w:rsidRPr="00F01A00">
        <w:rPr>
          <w:rFonts w:ascii="Arial" w:hAnsi="Arial" w:cs="Arial"/>
          <w:sz w:val="22"/>
        </w:rPr>
        <w:t>, vol. 144, no. 5, pp. 646–74, Mar. 2011, doi: 10.1016/j.cell.2011.02.013.</w:t>
      </w:r>
    </w:p>
    <w:p w14:paraId="54D89562" w14:textId="77777777" w:rsidR="00081E72" w:rsidRPr="00F01A00" w:rsidRDefault="00081E72" w:rsidP="00081E72">
      <w:pPr>
        <w:pStyle w:val="Bibliography"/>
        <w:rPr>
          <w:rFonts w:ascii="Arial" w:hAnsi="Arial" w:cs="Arial"/>
          <w:sz w:val="22"/>
        </w:rPr>
      </w:pPr>
      <w:r w:rsidRPr="00F01A00">
        <w:rPr>
          <w:rFonts w:ascii="Arial" w:hAnsi="Arial" w:cs="Arial"/>
          <w:sz w:val="22"/>
        </w:rPr>
        <w:t>[5]</w:t>
      </w:r>
      <w:r w:rsidRPr="00F01A00">
        <w:rPr>
          <w:rFonts w:ascii="Arial" w:hAnsi="Arial" w:cs="Arial"/>
          <w:sz w:val="22"/>
        </w:rPr>
        <w:tab/>
        <w:t xml:space="preserve">V. Marx, “Finding the right antibody for the job,” </w:t>
      </w:r>
      <w:r w:rsidRPr="00F01A00">
        <w:rPr>
          <w:rFonts w:ascii="Arial" w:hAnsi="Arial" w:cs="Arial"/>
          <w:i/>
          <w:iCs/>
          <w:sz w:val="22"/>
        </w:rPr>
        <w:t>Nat. Methods</w:t>
      </w:r>
      <w:r w:rsidRPr="00F01A00">
        <w:rPr>
          <w:rFonts w:ascii="Arial" w:hAnsi="Arial" w:cs="Arial"/>
          <w:sz w:val="22"/>
        </w:rPr>
        <w:t>, vol. 10, no. 8, pp. 703–707, Aug. 2013, doi: 10.1038/nmeth.2570.</w:t>
      </w:r>
    </w:p>
    <w:p w14:paraId="13E7AF64" w14:textId="77777777" w:rsidR="00081E72" w:rsidRPr="00F01A00" w:rsidRDefault="00081E72" w:rsidP="00081E72">
      <w:pPr>
        <w:pStyle w:val="Bibliography"/>
        <w:rPr>
          <w:rFonts w:ascii="Arial" w:hAnsi="Arial" w:cs="Arial"/>
          <w:sz w:val="22"/>
        </w:rPr>
      </w:pPr>
      <w:r w:rsidRPr="00F01A00">
        <w:rPr>
          <w:rFonts w:ascii="Arial" w:hAnsi="Arial" w:cs="Arial"/>
          <w:sz w:val="22"/>
        </w:rPr>
        <w:t>[6]</w:t>
      </w:r>
      <w:r w:rsidRPr="00F01A00">
        <w:rPr>
          <w:rFonts w:ascii="Arial" w:hAnsi="Arial" w:cs="Arial"/>
          <w:sz w:val="22"/>
        </w:rPr>
        <w:tab/>
        <w:t xml:space="preserve">K. Colwill, Renewable Protein Binder Working Group, and S. Gräslund, “A roadmap to generate renewable protein binders to the human proteome.,” </w:t>
      </w:r>
      <w:r w:rsidRPr="00F01A00">
        <w:rPr>
          <w:rFonts w:ascii="Arial" w:hAnsi="Arial" w:cs="Arial"/>
          <w:i/>
          <w:iCs/>
          <w:sz w:val="22"/>
        </w:rPr>
        <w:t>Nat. Methods</w:t>
      </w:r>
      <w:r w:rsidRPr="00F01A00">
        <w:rPr>
          <w:rFonts w:ascii="Arial" w:hAnsi="Arial" w:cs="Arial"/>
          <w:sz w:val="22"/>
        </w:rPr>
        <w:t>, vol. 8, no. 7, pp. 551–8, May 2011, doi: 10.1038/nmeth.1607.</w:t>
      </w:r>
    </w:p>
    <w:p w14:paraId="3A403A30" w14:textId="77777777" w:rsidR="00081E72" w:rsidRPr="00F01A00" w:rsidRDefault="00081E72" w:rsidP="00081E72">
      <w:pPr>
        <w:pStyle w:val="Bibliography"/>
        <w:rPr>
          <w:rFonts w:ascii="Arial" w:hAnsi="Arial" w:cs="Arial"/>
          <w:sz w:val="22"/>
        </w:rPr>
      </w:pPr>
      <w:r w:rsidRPr="00F01A00">
        <w:rPr>
          <w:rFonts w:ascii="Arial" w:hAnsi="Arial" w:cs="Arial"/>
          <w:sz w:val="22"/>
        </w:rPr>
        <w:t>[7]</w:t>
      </w:r>
      <w:r w:rsidRPr="00F01A00">
        <w:rPr>
          <w:rFonts w:ascii="Arial" w:hAnsi="Arial" w:cs="Arial"/>
          <w:sz w:val="22"/>
        </w:rPr>
        <w:tab/>
        <w:t xml:space="preserve">M. Hornsby </w:t>
      </w:r>
      <w:r w:rsidRPr="00F01A00">
        <w:rPr>
          <w:rFonts w:ascii="Arial" w:hAnsi="Arial" w:cs="Arial"/>
          <w:i/>
          <w:iCs/>
          <w:sz w:val="22"/>
        </w:rPr>
        <w:t>et al.</w:t>
      </w:r>
      <w:r w:rsidRPr="00F01A00">
        <w:rPr>
          <w:rFonts w:ascii="Arial" w:hAnsi="Arial" w:cs="Arial"/>
          <w:sz w:val="22"/>
        </w:rPr>
        <w:t xml:space="preserve">, “A High Through-put Platform for Recombinant Antibodies to Folded Proteins,” </w:t>
      </w:r>
      <w:r w:rsidRPr="00F01A00">
        <w:rPr>
          <w:rFonts w:ascii="Arial" w:hAnsi="Arial" w:cs="Arial"/>
          <w:i/>
          <w:iCs/>
          <w:sz w:val="22"/>
        </w:rPr>
        <w:t>Mol. Cell. Proteomics</w:t>
      </w:r>
      <w:r w:rsidRPr="00F01A00">
        <w:rPr>
          <w:rFonts w:ascii="Arial" w:hAnsi="Arial" w:cs="Arial"/>
          <w:sz w:val="22"/>
        </w:rPr>
        <w:t>, vol. 14, no. 10, pp. 2833–2847, 2015, doi: 10.1074/mcp.O115.052209.</w:t>
      </w:r>
    </w:p>
    <w:p w14:paraId="4D051961" w14:textId="77777777" w:rsidR="00081E72" w:rsidRPr="00F01A00" w:rsidRDefault="00081E72" w:rsidP="00081E72">
      <w:pPr>
        <w:pStyle w:val="Bibliography"/>
        <w:rPr>
          <w:rFonts w:ascii="Arial" w:hAnsi="Arial" w:cs="Arial"/>
          <w:sz w:val="22"/>
        </w:rPr>
      </w:pPr>
      <w:r w:rsidRPr="00F01A00">
        <w:rPr>
          <w:rFonts w:ascii="Arial" w:hAnsi="Arial" w:cs="Arial"/>
          <w:sz w:val="22"/>
        </w:rPr>
        <w:t>[8]</w:t>
      </w:r>
      <w:r w:rsidRPr="00F01A00">
        <w:rPr>
          <w:rFonts w:ascii="Arial" w:hAnsi="Arial" w:cs="Arial"/>
          <w:sz w:val="22"/>
        </w:rPr>
        <w:tab/>
        <w:t xml:space="preserve">A. J. Martinko </w:t>
      </w:r>
      <w:r w:rsidRPr="00F01A00">
        <w:rPr>
          <w:rFonts w:ascii="Arial" w:hAnsi="Arial" w:cs="Arial"/>
          <w:i/>
          <w:iCs/>
          <w:sz w:val="22"/>
        </w:rPr>
        <w:t>et al.</w:t>
      </w:r>
      <w:r w:rsidRPr="00F01A00">
        <w:rPr>
          <w:rFonts w:ascii="Arial" w:hAnsi="Arial" w:cs="Arial"/>
          <w:sz w:val="22"/>
        </w:rPr>
        <w:t xml:space="preserve">, “Targeting RAS driven human cancer cells with antibodies to upregulated and essential cell-surface proteins,” </w:t>
      </w:r>
      <w:r w:rsidRPr="00F01A00">
        <w:rPr>
          <w:rFonts w:ascii="Arial" w:hAnsi="Arial" w:cs="Arial"/>
          <w:i/>
          <w:iCs/>
          <w:sz w:val="22"/>
        </w:rPr>
        <w:t>eLife</w:t>
      </w:r>
      <w:r w:rsidRPr="00F01A00">
        <w:rPr>
          <w:rFonts w:ascii="Arial" w:hAnsi="Arial" w:cs="Arial"/>
          <w:sz w:val="22"/>
        </w:rPr>
        <w:t>, vol. 7, p. e31098, 2018, doi: 10.7554/eLife.31098.</w:t>
      </w:r>
    </w:p>
    <w:p w14:paraId="57AB8530" w14:textId="77777777" w:rsidR="00081E72" w:rsidRPr="00F01A00" w:rsidRDefault="00081E72" w:rsidP="00081E72">
      <w:pPr>
        <w:pStyle w:val="Bibliography"/>
        <w:rPr>
          <w:rFonts w:ascii="Arial" w:hAnsi="Arial" w:cs="Arial"/>
          <w:sz w:val="22"/>
        </w:rPr>
      </w:pPr>
      <w:r w:rsidRPr="00F01A00">
        <w:rPr>
          <w:rFonts w:ascii="Arial" w:hAnsi="Arial" w:cs="Arial"/>
          <w:sz w:val="22"/>
        </w:rPr>
        <w:t>[9]</w:t>
      </w:r>
      <w:r w:rsidRPr="00F01A00">
        <w:rPr>
          <w:rFonts w:ascii="Arial" w:hAnsi="Arial" w:cs="Arial"/>
          <w:sz w:val="22"/>
        </w:rPr>
        <w:tab/>
        <w:t xml:space="preserve">B. Wollscheid </w:t>
      </w:r>
      <w:r w:rsidRPr="00F01A00">
        <w:rPr>
          <w:rFonts w:ascii="Arial" w:hAnsi="Arial" w:cs="Arial"/>
          <w:i/>
          <w:iCs/>
          <w:sz w:val="22"/>
        </w:rPr>
        <w:t>et al.</w:t>
      </w:r>
      <w:r w:rsidRPr="00F01A00">
        <w:rPr>
          <w:rFonts w:ascii="Arial" w:hAnsi="Arial" w:cs="Arial"/>
          <w:sz w:val="22"/>
        </w:rPr>
        <w:t xml:space="preserve">, “Mass-spectrometric identification and relative quantification of N-linked cell surface glycoproteins.,” </w:t>
      </w:r>
      <w:r w:rsidRPr="00F01A00">
        <w:rPr>
          <w:rFonts w:ascii="Arial" w:hAnsi="Arial" w:cs="Arial"/>
          <w:i/>
          <w:iCs/>
          <w:sz w:val="22"/>
        </w:rPr>
        <w:t>Nat. Biotechnol.</w:t>
      </w:r>
      <w:r w:rsidRPr="00F01A00">
        <w:rPr>
          <w:rFonts w:ascii="Arial" w:hAnsi="Arial" w:cs="Arial"/>
          <w:sz w:val="22"/>
        </w:rPr>
        <w:t>, vol. 27, no. 4, pp. 378–86, Apr. 2009, doi: 10.1038/nbt.1532.</w:t>
      </w:r>
    </w:p>
    <w:p w14:paraId="6A21724E" w14:textId="77777777" w:rsidR="00081E72" w:rsidRPr="00F01A00" w:rsidRDefault="00081E72" w:rsidP="00081E72">
      <w:pPr>
        <w:pStyle w:val="Bibliography"/>
        <w:rPr>
          <w:rFonts w:ascii="Arial" w:hAnsi="Arial" w:cs="Arial"/>
          <w:sz w:val="22"/>
        </w:rPr>
      </w:pPr>
      <w:r w:rsidRPr="00F01A00">
        <w:rPr>
          <w:rFonts w:ascii="Arial" w:hAnsi="Arial" w:cs="Arial"/>
          <w:sz w:val="22"/>
        </w:rPr>
        <w:t>[10]</w:t>
      </w:r>
      <w:r w:rsidRPr="00F01A00">
        <w:rPr>
          <w:rFonts w:ascii="Arial" w:hAnsi="Arial" w:cs="Arial"/>
          <w:sz w:val="22"/>
        </w:rPr>
        <w:tab/>
        <w:t xml:space="preserve">H. Hanna, L. M. Mir, and F. M. Andre, “In vitro osteoblastic differentiation of mesenchymal stem cells generates cell layers with distinct properties,” </w:t>
      </w:r>
      <w:r w:rsidRPr="00F01A00">
        <w:rPr>
          <w:rFonts w:ascii="Arial" w:hAnsi="Arial" w:cs="Arial"/>
          <w:i/>
          <w:iCs/>
          <w:sz w:val="22"/>
        </w:rPr>
        <w:t>Stem Cell Res. Ther.</w:t>
      </w:r>
      <w:r w:rsidRPr="00F01A00">
        <w:rPr>
          <w:rFonts w:ascii="Arial" w:hAnsi="Arial" w:cs="Arial"/>
          <w:sz w:val="22"/>
        </w:rPr>
        <w:t>, vol. 9, no. 1, p. 203, 2018, doi: 10.1186/s13287-018-0942-x.</w:t>
      </w:r>
    </w:p>
    <w:p w14:paraId="202AFB72" w14:textId="77777777" w:rsidR="00081E72" w:rsidRPr="00F01A00" w:rsidRDefault="00081E72" w:rsidP="00081E72">
      <w:pPr>
        <w:pStyle w:val="Bibliography"/>
        <w:rPr>
          <w:rFonts w:ascii="Arial" w:hAnsi="Arial" w:cs="Arial"/>
          <w:sz w:val="22"/>
        </w:rPr>
      </w:pPr>
      <w:r w:rsidRPr="00F01A00">
        <w:rPr>
          <w:rFonts w:ascii="Arial" w:hAnsi="Arial" w:cs="Arial"/>
          <w:sz w:val="22"/>
        </w:rPr>
        <w:t>[11]</w:t>
      </w:r>
      <w:r w:rsidRPr="00F01A00">
        <w:rPr>
          <w:rFonts w:ascii="Arial" w:hAnsi="Arial" w:cs="Arial"/>
          <w:sz w:val="22"/>
        </w:rPr>
        <w:tab/>
        <w:t xml:space="preserve">J. D. Martell </w:t>
      </w:r>
      <w:r w:rsidRPr="00F01A00">
        <w:rPr>
          <w:rFonts w:ascii="Arial" w:hAnsi="Arial" w:cs="Arial"/>
          <w:i/>
          <w:iCs/>
          <w:sz w:val="22"/>
        </w:rPr>
        <w:t>et al.</w:t>
      </w:r>
      <w:r w:rsidRPr="00F01A00">
        <w:rPr>
          <w:rFonts w:ascii="Arial" w:hAnsi="Arial" w:cs="Arial"/>
          <w:sz w:val="22"/>
        </w:rPr>
        <w:t xml:space="preserve">, “Engineered ascorbate peroxidase as a genetically encoded reporter for electron microscopy,” </w:t>
      </w:r>
      <w:r w:rsidRPr="00F01A00">
        <w:rPr>
          <w:rFonts w:ascii="Arial" w:hAnsi="Arial" w:cs="Arial"/>
          <w:i/>
          <w:iCs/>
          <w:sz w:val="22"/>
        </w:rPr>
        <w:t>Nat. Biotechnol.</w:t>
      </w:r>
      <w:r w:rsidRPr="00F01A00">
        <w:rPr>
          <w:rFonts w:ascii="Arial" w:hAnsi="Arial" w:cs="Arial"/>
          <w:sz w:val="22"/>
        </w:rPr>
        <w:t>, vol. 30, no. 11, pp. 1143–1148, 2012, doi: 10.1038/nbt.2375.</w:t>
      </w:r>
    </w:p>
    <w:p w14:paraId="2BFD077A" w14:textId="77777777" w:rsidR="00081E72" w:rsidRPr="00F01A00" w:rsidRDefault="00081E72" w:rsidP="00081E72">
      <w:pPr>
        <w:pStyle w:val="Bibliography"/>
        <w:rPr>
          <w:rFonts w:ascii="Arial" w:hAnsi="Arial" w:cs="Arial"/>
          <w:sz w:val="22"/>
        </w:rPr>
      </w:pPr>
      <w:r w:rsidRPr="00F01A00">
        <w:rPr>
          <w:rFonts w:ascii="Arial" w:hAnsi="Arial" w:cs="Arial"/>
          <w:sz w:val="22"/>
        </w:rPr>
        <w:t>[12]</w:t>
      </w:r>
      <w:r w:rsidRPr="00F01A00">
        <w:rPr>
          <w:rFonts w:ascii="Arial" w:hAnsi="Arial" w:cs="Arial"/>
          <w:sz w:val="22"/>
        </w:rPr>
        <w:tab/>
        <w:t xml:space="preserve">A. R. M. Bradbury, S. Sidhu, S. Dübel, and J. McCafferty, “Beyond natural antibodies: the power of in vitro display technologies,” </w:t>
      </w:r>
      <w:r w:rsidRPr="00F01A00">
        <w:rPr>
          <w:rFonts w:ascii="Arial" w:hAnsi="Arial" w:cs="Arial"/>
          <w:i/>
          <w:iCs/>
          <w:sz w:val="22"/>
        </w:rPr>
        <w:t>Nat. Biotechnol.</w:t>
      </w:r>
      <w:r w:rsidRPr="00F01A00">
        <w:rPr>
          <w:rFonts w:ascii="Arial" w:hAnsi="Arial" w:cs="Arial"/>
          <w:sz w:val="22"/>
        </w:rPr>
        <w:t>, vol. 29, no. 3, pp. 245–254, Mar. 2011, doi: 10.1038/nbt.1791.</w:t>
      </w:r>
    </w:p>
    <w:p w14:paraId="25149C9A" w14:textId="77777777" w:rsidR="00081E72" w:rsidRPr="00F01A00" w:rsidRDefault="00081E72" w:rsidP="00081E72">
      <w:pPr>
        <w:pStyle w:val="Bibliography"/>
        <w:rPr>
          <w:rFonts w:ascii="Arial" w:hAnsi="Arial" w:cs="Arial"/>
          <w:sz w:val="22"/>
        </w:rPr>
      </w:pPr>
      <w:r w:rsidRPr="00F01A00">
        <w:rPr>
          <w:rFonts w:ascii="Arial" w:hAnsi="Arial" w:cs="Arial"/>
          <w:sz w:val="22"/>
        </w:rPr>
        <w:t>[13]</w:t>
      </w:r>
      <w:r w:rsidRPr="00F01A00">
        <w:rPr>
          <w:rFonts w:ascii="Arial" w:hAnsi="Arial" w:cs="Arial"/>
          <w:sz w:val="22"/>
        </w:rPr>
        <w:tab/>
        <w:t xml:space="preserve">K. M. Lo </w:t>
      </w:r>
      <w:r w:rsidRPr="00F01A00">
        <w:rPr>
          <w:rFonts w:ascii="Arial" w:hAnsi="Arial" w:cs="Arial"/>
          <w:i/>
          <w:iCs/>
          <w:sz w:val="22"/>
        </w:rPr>
        <w:t>et al.</w:t>
      </w:r>
      <w:r w:rsidRPr="00F01A00">
        <w:rPr>
          <w:rFonts w:ascii="Arial" w:hAnsi="Arial" w:cs="Arial"/>
          <w:sz w:val="22"/>
        </w:rPr>
        <w:t xml:space="preserve">, “High level expression and secretion of Fc-X fusion proteins in mammalian cells.,” </w:t>
      </w:r>
      <w:r w:rsidRPr="00F01A00">
        <w:rPr>
          <w:rFonts w:ascii="Arial" w:hAnsi="Arial" w:cs="Arial"/>
          <w:i/>
          <w:iCs/>
          <w:sz w:val="22"/>
        </w:rPr>
        <w:t>Protein Eng.</w:t>
      </w:r>
      <w:r w:rsidRPr="00F01A00">
        <w:rPr>
          <w:rFonts w:ascii="Arial" w:hAnsi="Arial" w:cs="Arial"/>
          <w:sz w:val="22"/>
        </w:rPr>
        <w:t>, vol. 11, no. 6, pp. 495–500, 1998.</w:t>
      </w:r>
    </w:p>
    <w:p w14:paraId="22C88C26" w14:textId="77777777" w:rsidR="00081E72" w:rsidRPr="00F01A00" w:rsidRDefault="00081E72" w:rsidP="00081E72">
      <w:pPr>
        <w:pStyle w:val="Bibliography"/>
        <w:rPr>
          <w:rFonts w:ascii="Arial" w:hAnsi="Arial" w:cs="Arial"/>
          <w:sz w:val="22"/>
        </w:rPr>
      </w:pPr>
      <w:r w:rsidRPr="00F01A00">
        <w:rPr>
          <w:rFonts w:ascii="Arial" w:hAnsi="Arial" w:cs="Arial"/>
          <w:sz w:val="22"/>
        </w:rPr>
        <w:t>[14]</w:t>
      </w:r>
      <w:r w:rsidRPr="00F01A00">
        <w:rPr>
          <w:rFonts w:ascii="Arial" w:hAnsi="Arial" w:cs="Arial"/>
          <w:sz w:val="22"/>
        </w:rPr>
        <w:tab/>
        <w:t xml:space="preserve">U. Mechold, C. Gilbert, and V. Ogryzko, “Codon optimization of the BirA enzyme gene leads to higher expression and an improved efficiency of biotinylation of target proteins in mammalian cells.,” </w:t>
      </w:r>
      <w:r w:rsidRPr="00F01A00">
        <w:rPr>
          <w:rFonts w:ascii="Arial" w:hAnsi="Arial" w:cs="Arial"/>
          <w:i/>
          <w:iCs/>
          <w:sz w:val="22"/>
        </w:rPr>
        <w:t>J. Biotechnol.</w:t>
      </w:r>
      <w:r w:rsidRPr="00F01A00">
        <w:rPr>
          <w:rFonts w:ascii="Arial" w:hAnsi="Arial" w:cs="Arial"/>
          <w:sz w:val="22"/>
        </w:rPr>
        <w:t>, vol. 116, no. 3, pp. 245–9, Mar. 2005, doi: 10.1016/j.jbiotec.2004.12.003.</w:t>
      </w:r>
    </w:p>
    <w:p w14:paraId="02B55D3C" w14:textId="77777777" w:rsidR="00081E72" w:rsidRPr="00F01A00" w:rsidRDefault="00081E72" w:rsidP="00081E72">
      <w:pPr>
        <w:pStyle w:val="Bibliography"/>
        <w:rPr>
          <w:rFonts w:ascii="Arial" w:hAnsi="Arial" w:cs="Arial"/>
          <w:sz w:val="22"/>
        </w:rPr>
      </w:pPr>
      <w:r w:rsidRPr="00F01A00">
        <w:rPr>
          <w:rFonts w:ascii="Arial" w:hAnsi="Arial" w:cs="Arial"/>
          <w:sz w:val="22"/>
        </w:rPr>
        <w:t>[15]</w:t>
      </w:r>
      <w:r w:rsidRPr="00F01A00">
        <w:rPr>
          <w:rFonts w:ascii="Arial" w:hAnsi="Arial" w:cs="Arial"/>
          <w:sz w:val="22"/>
        </w:rPr>
        <w:tab/>
        <w:t xml:space="preserve">D. A. Polayes, T. D. Parks, S. A. Johnston, and W. G. Dougherty, “Application of TEV Protease in Protein Production.,” </w:t>
      </w:r>
      <w:r w:rsidRPr="00F01A00">
        <w:rPr>
          <w:rFonts w:ascii="Arial" w:hAnsi="Arial" w:cs="Arial"/>
          <w:i/>
          <w:iCs/>
          <w:sz w:val="22"/>
        </w:rPr>
        <w:t>Methods Mol. Med.</w:t>
      </w:r>
      <w:r w:rsidRPr="00F01A00">
        <w:rPr>
          <w:rFonts w:ascii="Arial" w:hAnsi="Arial" w:cs="Arial"/>
          <w:sz w:val="22"/>
        </w:rPr>
        <w:t>, vol. 13, pp. 169–83, 1998, doi: 10.1385/0-89603-485-2:169.</w:t>
      </w:r>
    </w:p>
    <w:p w14:paraId="02C66898" w14:textId="77777777" w:rsidR="00081E72" w:rsidRPr="00F01A00" w:rsidRDefault="00081E72" w:rsidP="00081E72">
      <w:pPr>
        <w:pStyle w:val="Bibliography"/>
        <w:rPr>
          <w:rFonts w:ascii="Arial" w:hAnsi="Arial" w:cs="Arial"/>
          <w:sz w:val="22"/>
        </w:rPr>
      </w:pPr>
      <w:r w:rsidRPr="00F01A00">
        <w:rPr>
          <w:rFonts w:ascii="Arial" w:hAnsi="Arial" w:cs="Arial"/>
          <w:sz w:val="22"/>
        </w:rPr>
        <w:t>[16]</w:t>
      </w:r>
      <w:r w:rsidRPr="00F01A00">
        <w:rPr>
          <w:rFonts w:ascii="Arial" w:hAnsi="Arial" w:cs="Arial"/>
          <w:sz w:val="22"/>
        </w:rPr>
        <w:tab/>
        <w:t xml:space="preserve">H. Persson </w:t>
      </w:r>
      <w:r w:rsidRPr="00F01A00">
        <w:rPr>
          <w:rFonts w:ascii="Arial" w:hAnsi="Arial" w:cs="Arial"/>
          <w:i/>
          <w:iCs/>
          <w:sz w:val="22"/>
        </w:rPr>
        <w:t>et al.</w:t>
      </w:r>
      <w:r w:rsidRPr="00F01A00">
        <w:rPr>
          <w:rFonts w:ascii="Arial" w:hAnsi="Arial" w:cs="Arial"/>
          <w:sz w:val="22"/>
        </w:rPr>
        <w:t xml:space="preserve">, “CDR-H3 diversity is not required for antigen recognition by synthetic antibodies,” </w:t>
      </w:r>
      <w:r w:rsidRPr="00F01A00">
        <w:rPr>
          <w:rFonts w:ascii="Arial" w:hAnsi="Arial" w:cs="Arial"/>
          <w:i/>
          <w:iCs/>
          <w:sz w:val="22"/>
        </w:rPr>
        <w:t>J. Mol. Biol.</w:t>
      </w:r>
      <w:r w:rsidRPr="00F01A00">
        <w:rPr>
          <w:rFonts w:ascii="Arial" w:hAnsi="Arial" w:cs="Arial"/>
          <w:sz w:val="22"/>
        </w:rPr>
        <w:t>, vol. 425, no. 4, pp. 803–811, 2013, doi: 10.1016/j.jmb.2012.11.037.</w:t>
      </w:r>
    </w:p>
    <w:p w14:paraId="10A73FA1" w14:textId="77777777" w:rsidR="00081E72" w:rsidRPr="00F01A00" w:rsidRDefault="00081E72" w:rsidP="00081E72">
      <w:pPr>
        <w:pStyle w:val="Bibliography"/>
        <w:rPr>
          <w:rFonts w:ascii="Arial" w:hAnsi="Arial" w:cs="Arial"/>
          <w:sz w:val="22"/>
        </w:rPr>
      </w:pPr>
      <w:r w:rsidRPr="00F01A00">
        <w:rPr>
          <w:rFonts w:ascii="Arial" w:hAnsi="Arial" w:cs="Arial"/>
          <w:sz w:val="22"/>
        </w:rPr>
        <w:t>[17]</w:t>
      </w:r>
      <w:r w:rsidRPr="00F01A00">
        <w:rPr>
          <w:rFonts w:ascii="Arial" w:hAnsi="Arial" w:cs="Arial"/>
          <w:sz w:val="22"/>
        </w:rPr>
        <w:tab/>
        <w:t xml:space="preserve">P. Carter </w:t>
      </w:r>
      <w:r w:rsidRPr="00F01A00">
        <w:rPr>
          <w:rFonts w:ascii="Arial" w:hAnsi="Arial" w:cs="Arial"/>
          <w:i/>
          <w:iCs/>
          <w:sz w:val="22"/>
        </w:rPr>
        <w:t>et al.</w:t>
      </w:r>
      <w:r w:rsidRPr="00F01A00">
        <w:rPr>
          <w:rFonts w:ascii="Arial" w:hAnsi="Arial" w:cs="Arial"/>
          <w:sz w:val="22"/>
        </w:rPr>
        <w:t xml:space="preserve">, “Humanization of an anti-p185HER2 antibody for human cancer therapy.,” </w:t>
      </w:r>
      <w:r w:rsidRPr="00F01A00">
        <w:rPr>
          <w:rFonts w:ascii="Arial" w:hAnsi="Arial" w:cs="Arial"/>
          <w:i/>
          <w:iCs/>
          <w:sz w:val="22"/>
        </w:rPr>
        <w:t>Proc. Natl. Acad. Sci. U. S. A.</w:t>
      </w:r>
      <w:r w:rsidRPr="00F01A00">
        <w:rPr>
          <w:rFonts w:ascii="Arial" w:hAnsi="Arial" w:cs="Arial"/>
          <w:sz w:val="22"/>
        </w:rPr>
        <w:t>, vol. 89, no. 10, pp. 4285–4289, 1992, doi: 10.Carter, P., L. Presta, C. M. Gorman, J. B. Ridgway, D. Henner, W. L. Wong, A. M. Rowland, C. Kotts, M. E. Carver, and H. M. Shepard. 1992. “Humanization of an Anti-p185HER2 Antibody for Human Cancer Therapy.” Proceedings of the National Academy of Scie.</w:t>
      </w:r>
    </w:p>
    <w:p w14:paraId="7B40B4A2" w14:textId="77777777" w:rsidR="00081E72" w:rsidRPr="00F01A00" w:rsidRDefault="00081E72" w:rsidP="00081E72">
      <w:pPr>
        <w:pStyle w:val="Bibliography"/>
        <w:rPr>
          <w:rFonts w:ascii="Arial" w:hAnsi="Arial" w:cs="Arial"/>
          <w:sz w:val="22"/>
        </w:rPr>
      </w:pPr>
      <w:r w:rsidRPr="00F01A00">
        <w:rPr>
          <w:rFonts w:ascii="Arial" w:hAnsi="Arial" w:cs="Arial"/>
          <w:sz w:val="22"/>
        </w:rPr>
        <w:t>[18]</w:t>
      </w:r>
      <w:r w:rsidRPr="00F01A00">
        <w:rPr>
          <w:rFonts w:ascii="Arial" w:hAnsi="Arial" w:cs="Arial"/>
          <w:sz w:val="22"/>
        </w:rPr>
        <w:tab/>
        <w:t xml:space="preserve">C. J. Bracken </w:t>
      </w:r>
      <w:r w:rsidRPr="00F01A00">
        <w:rPr>
          <w:rFonts w:ascii="Arial" w:hAnsi="Arial" w:cs="Arial"/>
          <w:i/>
          <w:iCs/>
          <w:sz w:val="22"/>
        </w:rPr>
        <w:t>et al.</w:t>
      </w:r>
      <w:r w:rsidRPr="00F01A00">
        <w:rPr>
          <w:rFonts w:ascii="Arial" w:hAnsi="Arial" w:cs="Arial"/>
          <w:sz w:val="22"/>
        </w:rPr>
        <w:t xml:space="preserve">, “Bi-paratopic and multivalent VH domains block ACE2 binding and neutralize SARS-CoV-2.,” </w:t>
      </w:r>
      <w:r w:rsidRPr="00F01A00">
        <w:rPr>
          <w:rFonts w:ascii="Arial" w:hAnsi="Arial" w:cs="Arial"/>
          <w:i/>
          <w:iCs/>
          <w:sz w:val="22"/>
        </w:rPr>
        <w:t>Nat. Chem. Biol.</w:t>
      </w:r>
      <w:r w:rsidRPr="00F01A00">
        <w:rPr>
          <w:rFonts w:ascii="Arial" w:hAnsi="Arial" w:cs="Arial"/>
          <w:sz w:val="22"/>
        </w:rPr>
        <w:t>, vol. 17, no. 1, pp. 113–121, 2021, doi: 10.1038/s41589-020-00679-1.</w:t>
      </w:r>
    </w:p>
    <w:p w14:paraId="7C5EA96C" w14:textId="77777777" w:rsidR="00081E72" w:rsidRPr="00F01A00" w:rsidRDefault="00081E72" w:rsidP="00081E72">
      <w:pPr>
        <w:pStyle w:val="Bibliography"/>
        <w:rPr>
          <w:rFonts w:ascii="Arial" w:hAnsi="Arial" w:cs="Arial"/>
          <w:sz w:val="22"/>
        </w:rPr>
      </w:pPr>
      <w:r w:rsidRPr="00F01A00">
        <w:rPr>
          <w:rFonts w:ascii="Arial" w:hAnsi="Arial" w:cs="Arial"/>
          <w:sz w:val="22"/>
        </w:rPr>
        <w:t>[19]</w:t>
      </w:r>
      <w:r w:rsidRPr="00F01A00">
        <w:rPr>
          <w:rFonts w:ascii="Arial" w:hAnsi="Arial" w:cs="Arial"/>
          <w:sz w:val="22"/>
        </w:rPr>
        <w:tab/>
        <w:t xml:space="preserve">B. Luginbühl </w:t>
      </w:r>
      <w:r w:rsidRPr="00F01A00">
        <w:rPr>
          <w:rFonts w:ascii="Arial" w:hAnsi="Arial" w:cs="Arial"/>
          <w:i/>
          <w:iCs/>
          <w:sz w:val="22"/>
        </w:rPr>
        <w:t>et al.</w:t>
      </w:r>
      <w:r w:rsidRPr="00F01A00">
        <w:rPr>
          <w:rFonts w:ascii="Arial" w:hAnsi="Arial" w:cs="Arial"/>
          <w:sz w:val="22"/>
        </w:rPr>
        <w:t xml:space="preserve">, “Directed evolution of an anti-prion protein scFv fragment to an affinity of 1 pM and its structural interpretation.,” </w:t>
      </w:r>
      <w:r w:rsidRPr="00F01A00">
        <w:rPr>
          <w:rFonts w:ascii="Arial" w:hAnsi="Arial" w:cs="Arial"/>
          <w:i/>
          <w:iCs/>
          <w:sz w:val="22"/>
        </w:rPr>
        <w:t>J. Mol. Biol.</w:t>
      </w:r>
      <w:r w:rsidRPr="00F01A00">
        <w:rPr>
          <w:rFonts w:ascii="Arial" w:hAnsi="Arial" w:cs="Arial"/>
          <w:sz w:val="22"/>
        </w:rPr>
        <w:t>, vol. 363, no. 1, pp. 75–97, Oct. 2006, doi: 10.1016/j.jmb.2006.07.027.</w:t>
      </w:r>
    </w:p>
    <w:p w14:paraId="569684B3" w14:textId="77777777" w:rsidR="00081E72" w:rsidRPr="00F01A00" w:rsidRDefault="00081E72" w:rsidP="00081E72">
      <w:pPr>
        <w:pStyle w:val="Bibliography"/>
        <w:rPr>
          <w:rFonts w:ascii="Arial" w:hAnsi="Arial" w:cs="Arial"/>
          <w:sz w:val="22"/>
        </w:rPr>
      </w:pPr>
      <w:r w:rsidRPr="00F01A00">
        <w:rPr>
          <w:rFonts w:ascii="Arial" w:hAnsi="Arial" w:cs="Arial"/>
          <w:sz w:val="22"/>
        </w:rPr>
        <w:lastRenderedPageBreak/>
        <w:t>[20]</w:t>
      </w:r>
      <w:r w:rsidRPr="00F01A00">
        <w:rPr>
          <w:rFonts w:ascii="Arial" w:hAnsi="Arial" w:cs="Arial"/>
          <w:sz w:val="22"/>
        </w:rPr>
        <w:tab/>
        <w:t xml:space="preserve">S. K. Elledge </w:t>
      </w:r>
      <w:r w:rsidRPr="00F01A00">
        <w:rPr>
          <w:rFonts w:ascii="Arial" w:hAnsi="Arial" w:cs="Arial"/>
          <w:i/>
          <w:iCs/>
          <w:sz w:val="22"/>
        </w:rPr>
        <w:t>et al.</w:t>
      </w:r>
      <w:r w:rsidRPr="00F01A00">
        <w:rPr>
          <w:rFonts w:ascii="Arial" w:hAnsi="Arial" w:cs="Arial"/>
          <w:sz w:val="22"/>
        </w:rPr>
        <w:t xml:space="preserve">, “Systematic identification of engineered methionines and oxaziridines for efficient, stable, and site-specific antibody bioconjugation.,” </w:t>
      </w:r>
      <w:r w:rsidRPr="00F01A00">
        <w:rPr>
          <w:rFonts w:ascii="Arial" w:hAnsi="Arial" w:cs="Arial"/>
          <w:i/>
          <w:iCs/>
          <w:sz w:val="22"/>
        </w:rPr>
        <w:t>Proc. Natl. Acad. Sci. U. S. A.</w:t>
      </w:r>
      <w:r w:rsidRPr="00F01A00">
        <w:rPr>
          <w:rFonts w:ascii="Arial" w:hAnsi="Arial" w:cs="Arial"/>
          <w:sz w:val="22"/>
        </w:rPr>
        <w:t>, vol. 117, no. 11, pp. 5733–5740, Mar. 2020, doi: 10.1073/pnas.1920561117.</w:t>
      </w:r>
    </w:p>
    <w:p w14:paraId="676DB997" w14:textId="77777777" w:rsidR="00081E72" w:rsidRPr="00F01A00" w:rsidRDefault="00081E72" w:rsidP="00081E72">
      <w:pPr>
        <w:pStyle w:val="Bibliography"/>
        <w:rPr>
          <w:rFonts w:ascii="Arial" w:hAnsi="Arial" w:cs="Arial"/>
          <w:sz w:val="22"/>
        </w:rPr>
      </w:pPr>
      <w:r w:rsidRPr="00F01A00">
        <w:rPr>
          <w:rFonts w:ascii="Arial" w:hAnsi="Arial" w:cs="Arial"/>
          <w:sz w:val="22"/>
        </w:rPr>
        <w:t>[21]</w:t>
      </w:r>
      <w:r w:rsidRPr="00F01A00">
        <w:rPr>
          <w:rFonts w:ascii="Arial" w:hAnsi="Arial" w:cs="Arial"/>
          <w:sz w:val="22"/>
        </w:rPr>
        <w:tab/>
        <w:t xml:space="preserve">A. D. Cotton, D. P. Nguyen, J. A. Gramespacher, I. B. Seiple, and J. A. Wells, “Development of Antibody-Based PROTACs for the Degradation of the Cell-Surface Immune Checkpoint Protein PD-L1,” </w:t>
      </w:r>
      <w:r w:rsidRPr="00F01A00">
        <w:rPr>
          <w:rFonts w:ascii="Arial" w:hAnsi="Arial" w:cs="Arial"/>
          <w:i/>
          <w:iCs/>
          <w:sz w:val="22"/>
        </w:rPr>
        <w:t>J. Am. Chem. Soc.</w:t>
      </w:r>
      <w:r w:rsidRPr="00F01A00">
        <w:rPr>
          <w:rFonts w:ascii="Arial" w:hAnsi="Arial" w:cs="Arial"/>
          <w:sz w:val="22"/>
        </w:rPr>
        <w:t>, vol. 143, no. 2, pp. 593–598, 2021, doi: 10.1021/jacs.0c10008.</w:t>
      </w:r>
    </w:p>
    <w:p w14:paraId="7775CBA4" w14:textId="77777777" w:rsidR="00081E72" w:rsidRPr="00F01A00" w:rsidRDefault="00081E72" w:rsidP="00081E72">
      <w:pPr>
        <w:pStyle w:val="Bibliography"/>
        <w:rPr>
          <w:rFonts w:ascii="Arial" w:hAnsi="Arial" w:cs="Arial"/>
          <w:sz w:val="22"/>
        </w:rPr>
      </w:pPr>
      <w:r w:rsidRPr="00F01A00">
        <w:rPr>
          <w:rFonts w:ascii="Arial" w:hAnsi="Arial" w:cs="Arial"/>
          <w:sz w:val="22"/>
        </w:rPr>
        <w:t>[22]</w:t>
      </w:r>
      <w:r w:rsidRPr="00F01A00">
        <w:rPr>
          <w:rFonts w:ascii="Arial" w:hAnsi="Arial" w:cs="Arial"/>
          <w:sz w:val="22"/>
        </w:rPr>
        <w:tab/>
        <w:t xml:space="preserve">L. J. Lahey </w:t>
      </w:r>
      <w:r w:rsidRPr="00F01A00">
        <w:rPr>
          <w:rFonts w:ascii="Arial" w:hAnsi="Arial" w:cs="Arial"/>
          <w:i/>
          <w:iCs/>
          <w:sz w:val="22"/>
        </w:rPr>
        <w:t>et al.</w:t>
      </w:r>
      <w:r w:rsidRPr="00F01A00">
        <w:rPr>
          <w:rFonts w:ascii="Arial" w:hAnsi="Arial" w:cs="Arial"/>
          <w:sz w:val="22"/>
        </w:rPr>
        <w:t xml:space="preserve">, “LRRC8A:C/E Heteromeric Channels Are Ubiquitous Transporters of cGAMP.,” </w:t>
      </w:r>
      <w:r w:rsidRPr="00F01A00">
        <w:rPr>
          <w:rFonts w:ascii="Arial" w:hAnsi="Arial" w:cs="Arial"/>
          <w:i/>
          <w:iCs/>
          <w:sz w:val="22"/>
        </w:rPr>
        <w:t>Mol. Cell</w:t>
      </w:r>
      <w:r w:rsidRPr="00F01A00">
        <w:rPr>
          <w:rFonts w:ascii="Arial" w:hAnsi="Arial" w:cs="Arial"/>
          <w:sz w:val="22"/>
        </w:rPr>
        <w:t>, vol. 80, no. 4, pp. 578-591.e5, 2020, doi: 10.1016/j.molcel.2020.10.021.</w:t>
      </w:r>
    </w:p>
    <w:p w14:paraId="7D124118" w14:textId="77777777" w:rsidR="00081E72" w:rsidRPr="00F01A00" w:rsidRDefault="00081E72" w:rsidP="00081E72">
      <w:pPr>
        <w:pStyle w:val="Bibliography"/>
        <w:rPr>
          <w:rFonts w:ascii="Arial" w:hAnsi="Arial" w:cs="Arial"/>
          <w:sz w:val="22"/>
        </w:rPr>
      </w:pPr>
      <w:r w:rsidRPr="00F01A00">
        <w:rPr>
          <w:rFonts w:ascii="Arial" w:hAnsi="Arial" w:cs="Arial"/>
          <w:sz w:val="22"/>
        </w:rPr>
        <w:t>[23]</w:t>
      </w:r>
      <w:r w:rsidRPr="00F01A00">
        <w:rPr>
          <w:rFonts w:ascii="Arial" w:hAnsi="Arial" w:cs="Arial"/>
          <w:sz w:val="22"/>
        </w:rPr>
        <w:tab/>
        <w:t xml:space="preserve">K. Garber, “Bispecific antibodies rise again,” </w:t>
      </w:r>
      <w:r w:rsidRPr="00F01A00">
        <w:rPr>
          <w:rFonts w:ascii="Arial" w:hAnsi="Arial" w:cs="Arial"/>
          <w:i/>
          <w:iCs/>
          <w:sz w:val="22"/>
        </w:rPr>
        <w:t>Nat. Rev. Drug Discov.</w:t>
      </w:r>
      <w:r w:rsidRPr="00F01A00">
        <w:rPr>
          <w:rFonts w:ascii="Arial" w:hAnsi="Arial" w:cs="Arial"/>
          <w:sz w:val="22"/>
        </w:rPr>
        <w:t>, vol. 13, no. 11, pp. 799–801, 2014, doi: 10.1038/nrd4478.</w:t>
      </w:r>
    </w:p>
    <w:p w14:paraId="405832ED" w14:textId="77777777" w:rsidR="00081E72" w:rsidRPr="00F01A00" w:rsidRDefault="00081E72" w:rsidP="00081E72">
      <w:pPr>
        <w:pStyle w:val="Bibliography"/>
        <w:rPr>
          <w:rFonts w:ascii="Arial" w:hAnsi="Arial" w:cs="Arial"/>
          <w:sz w:val="22"/>
        </w:rPr>
      </w:pPr>
      <w:r w:rsidRPr="00F01A00">
        <w:rPr>
          <w:rFonts w:ascii="Arial" w:hAnsi="Arial" w:cs="Arial"/>
          <w:sz w:val="22"/>
        </w:rPr>
        <w:t>[24]</w:t>
      </w:r>
      <w:r w:rsidRPr="00F01A00">
        <w:rPr>
          <w:rFonts w:ascii="Arial" w:hAnsi="Arial" w:cs="Arial"/>
          <w:sz w:val="22"/>
        </w:rPr>
        <w:tab/>
        <w:t xml:space="preserve">S. A. Lim </w:t>
      </w:r>
      <w:r w:rsidRPr="00F01A00">
        <w:rPr>
          <w:rFonts w:ascii="Arial" w:hAnsi="Arial" w:cs="Arial"/>
          <w:i/>
          <w:iCs/>
          <w:sz w:val="22"/>
        </w:rPr>
        <w:t>et al.</w:t>
      </w:r>
      <w:r w:rsidRPr="00F01A00">
        <w:rPr>
          <w:rFonts w:ascii="Arial" w:hAnsi="Arial" w:cs="Arial"/>
          <w:sz w:val="22"/>
        </w:rPr>
        <w:t xml:space="preserve">, “Targeting a proteolytic neo-epitope of CUB-domain containing protein 1 in RAS-driven cancer,” </w:t>
      </w:r>
      <w:r w:rsidRPr="00F01A00">
        <w:rPr>
          <w:rFonts w:ascii="Arial" w:hAnsi="Arial" w:cs="Arial"/>
          <w:i/>
          <w:iCs/>
          <w:sz w:val="22"/>
        </w:rPr>
        <w:t>bioRxiv</w:t>
      </w:r>
      <w:r w:rsidRPr="00F01A00">
        <w:rPr>
          <w:rFonts w:ascii="Arial" w:hAnsi="Arial" w:cs="Arial"/>
          <w:sz w:val="22"/>
        </w:rPr>
        <w:t>, p. 2021.06.14.448427, Jan. 2021, doi: 10.1101/2021.06.14.448427.</w:t>
      </w:r>
    </w:p>
    <w:p w14:paraId="12A675A8" w14:textId="77777777" w:rsidR="00081E72" w:rsidRPr="00F01A00" w:rsidRDefault="00081E72" w:rsidP="00081E72">
      <w:pPr>
        <w:pStyle w:val="Bibliography"/>
        <w:rPr>
          <w:rFonts w:ascii="Arial" w:hAnsi="Arial" w:cs="Arial"/>
          <w:sz w:val="22"/>
        </w:rPr>
      </w:pPr>
      <w:r w:rsidRPr="00F01A00">
        <w:rPr>
          <w:rFonts w:ascii="Arial" w:hAnsi="Arial" w:cs="Arial"/>
          <w:sz w:val="22"/>
        </w:rPr>
        <w:t>[25]</w:t>
      </w:r>
      <w:r w:rsidRPr="00F01A00">
        <w:rPr>
          <w:rFonts w:ascii="Arial" w:hAnsi="Arial" w:cs="Arial"/>
          <w:sz w:val="22"/>
        </w:rPr>
        <w:tab/>
        <w:t xml:space="preserve">K. Kato </w:t>
      </w:r>
      <w:r w:rsidRPr="00F01A00">
        <w:rPr>
          <w:rFonts w:ascii="Arial" w:hAnsi="Arial" w:cs="Arial"/>
          <w:i/>
          <w:iCs/>
          <w:sz w:val="22"/>
        </w:rPr>
        <w:t>et al.</w:t>
      </w:r>
      <w:r w:rsidRPr="00F01A00">
        <w:rPr>
          <w:rFonts w:ascii="Arial" w:hAnsi="Arial" w:cs="Arial"/>
          <w:sz w:val="22"/>
        </w:rPr>
        <w:t xml:space="preserve">, “Crystal structure of Enpp1, an extracellular glycoprotein involved in bone mineralization and insulin signaling,” </w:t>
      </w:r>
      <w:r w:rsidRPr="00F01A00">
        <w:rPr>
          <w:rFonts w:ascii="Arial" w:hAnsi="Arial" w:cs="Arial"/>
          <w:i/>
          <w:iCs/>
          <w:sz w:val="22"/>
        </w:rPr>
        <w:t>Proc. Natl. Acad. Sci.</w:t>
      </w:r>
      <w:r w:rsidRPr="00F01A00">
        <w:rPr>
          <w:rFonts w:ascii="Arial" w:hAnsi="Arial" w:cs="Arial"/>
          <w:sz w:val="22"/>
        </w:rPr>
        <w:t>, vol. 109, no. 42, p. 16876 LP – 16881, Oct. 2012, doi: 10.1073/pnas.1208017109.</w:t>
      </w:r>
    </w:p>
    <w:p w14:paraId="16FC736B" w14:textId="77777777" w:rsidR="00081E72" w:rsidRPr="00F01A00" w:rsidRDefault="00081E72" w:rsidP="00081E72">
      <w:pPr>
        <w:pStyle w:val="Bibliography"/>
        <w:rPr>
          <w:rFonts w:ascii="Arial" w:hAnsi="Arial" w:cs="Arial"/>
          <w:sz w:val="22"/>
        </w:rPr>
      </w:pPr>
      <w:r w:rsidRPr="00F01A00">
        <w:rPr>
          <w:rFonts w:ascii="Arial" w:hAnsi="Arial" w:cs="Arial"/>
          <w:sz w:val="22"/>
        </w:rPr>
        <w:t>[26]</w:t>
      </w:r>
      <w:r w:rsidRPr="00F01A00">
        <w:rPr>
          <w:rFonts w:ascii="Arial" w:hAnsi="Arial" w:cs="Arial"/>
          <w:sz w:val="22"/>
        </w:rPr>
        <w:tab/>
        <w:t xml:space="preserve">M. L. Dennis </w:t>
      </w:r>
      <w:r w:rsidRPr="00F01A00">
        <w:rPr>
          <w:rFonts w:ascii="Arial" w:hAnsi="Arial" w:cs="Arial"/>
          <w:i/>
          <w:iCs/>
          <w:sz w:val="22"/>
        </w:rPr>
        <w:t>et al.</w:t>
      </w:r>
      <w:r w:rsidRPr="00F01A00">
        <w:rPr>
          <w:rFonts w:ascii="Arial" w:hAnsi="Arial" w:cs="Arial"/>
          <w:sz w:val="22"/>
        </w:rPr>
        <w:t xml:space="preserve">, “Crystal structures of human ENPP1 in apo and bound forms.,” </w:t>
      </w:r>
      <w:r w:rsidRPr="00F01A00">
        <w:rPr>
          <w:rFonts w:ascii="Arial" w:hAnsi="Arial" w:cs="Arial"/>
          <w:i/>
          <w:iCs/>
          <w:sz w:val="22"/>
        </w:rPr>
        <w:t>Acta Crystallogr. Sect. Struct. Biol.</w:t>
      </w:r>
      <w:r w:rsidRPr="00F01A00">
        <w:rPr>
          <w:rFonts w:ascii="Arial" w:hAnsi="Arial" w:cs="Arial"/>
          <w:sz w:val="22"/>
        </w:rPr>
        <w:t>, vol. 76, no. Pt 9, pp. 889–898, Sep. 2020, doi: 10.1107/S2059798320010505.</w:t>
      </w:r>
    </w:p>
    <w:p w14:paraId="6DE48AFD" w14:textId="77777777" w:rsidR="00081E72" w:rsidRPr="00F01A00" w:rsidRDefault="00081E72" w:rsidP="00081E72">
      <w:pPr>
        <w:pStyle w:val="Bibliography"/>
        <w:rPr>
          <w:rFonts w:ascii="Arial" w:hAnsi="Arial" w:cs="Arial"/>
          <w:sz w:val="22"/>
        </w:rPr>
      </w:pPr>
      <w:r w:rsidRPr="00F01A00">
        <w:rPr>
          <w:rFonts w:ascii="Arial" w:hAnsi="Arial" w:cs="Arial"/>
          <w:sz w:val="22"/>
        </w:rPr>
        <w:t>[27]</w:t>
      </w:r>
      <w:r w:rsidRPr="00F01A00">
        <w:rPr>
          <w:rFonts w:ascii="Arial" w:hAnsi="Arial" w:cs="Arial"/>
          <w:sz w:val="22"/>
        </w:rPr>
        <w:tab/>
        <w:t xml:space="preserve">Z. B. Hill, A. J. Martinko, D. P. Nguyen, and J. A. Wells, “Human antibody-based chemically induced dimerizers for cell therapeutic applications,” </w:t>
      </w:r>
      <w:r w:rsidRPr="00F01A00">
        <w:rPr>
          <w:rFonts w:ascii="Arial" w:hAnsi="Arial" w:cs="Arial"/>
          <w:i/>
          <w:iCs/>
          <w:sz w:val="22"/>
        </w:rPr>
        <w:t>Nat. Chem. Biol.</w:t>
      </w:r>
      <w:r w:rsidRPr="00F01A00">
        <w:rPr>
          <w:rFonts w:ascii="Arial" w:hAnsi="Arial" w:cs="Arial"/>
          <w:sz w:val="22"/>
        </w:rPr>
        <w:t>, vol. 14, no. 2, pp. 112–117, Feb. 2018, doi: 10.1038/nchembio.2529.</w:t>
      </w:r>
    </w:p>
    <w:p w14:paraId="73B4F1CF" w14:textId="77777777" w:rsidR="00081E72" w:rsidRPr="00F01A00" w:rsidRDefault="00081E72" w:rsidP="00081E72">
      <w:pPr>
        <w:pStyle w:val="Bibliography"/>
        <w:rPr>
          <w:rFonts w:ascii="Arial" w:hAnsi="Arial" w:cs="Arial"/>
          <w:sz w:val="22"/>
        </w:rPr>
      </w:pPr>
      <w:r w:rsidRPr="00F01A00">
        <w:rPr>
          <w:rFonts w:ascii="Arial" w:hAnsi="Arial" w:cs="Arial"/>
          <w:sz w:val="22"/>
        </w:rPr>
        <w:t>[28]</w:t>
      </w:r>
      <w:r w:rsidRPr="00F01A00">
        <w:rPr>
          <w:rFonts w:ascii="Arial" w:hAnsi="Arial" w:cs="Arial"/>
          <w:sz w:val="22"/>
        </w:rPr>
        <w:tab/>
        <w:t xml:space="preserve">S. M. Gilbert </w:t>
      </w:r>
      <w:r w:rsidRPr="00F01A00">
        <w:rPr>
          <w:rFonts w:ascii="Arial" w:hAnsi="Arial" w:cs="Arial"/>
          <w:i/>
          <w:iCs/>
          <w:sz w:val="22"/>
        </w:rPr>
        <w:t>et al.</w:t>
      </w:r>
      <w:r w:rsidRPr="00F01A00">
        <w:rPr>
          <w:rFonts w:ascii="Arial" w:hAnsi="Arial" w:cs="Arial"/>
          <w:sz w:val="22"/>
        </w:rPr>
        <w:t xml:space="preserve">, “ATP in the tumour microenvironment drives expression of nfP2X7, a key mediator of cancer cell survival,” </w:t>
      </w:r>
      <w:r w:rsidRPr="00F01A00">
        <w:rPr>
          <w:rFonts w:ascii="Arial" w:hAnsi="Arial" w:cs="Arial"/>
          <w:i/>
          <w:iCs/>
          <w:sz w:val="22"/>
        </w:rPr>
        <w:t>Oncogene</w:t>
      </w:r>
      <w:r w:rsidRPr="00F01A00">
        <w:rPr>
          <w:rFonts w:ascii="Arial" w:hAnsi="Arial" w:cs="Arial"/>
          <w:sz w:val="22"/>
        </w:rPr>
        <w:t>, vol. 38, no. 2, pp. 194–208, 2019, doi: 10.1038/s41388-018-0426-6.</w:t>
      </w:r>
    </w:p>
    <w:p w14:paraId="7FAD9399" w14:textId="77777777" w:rsidR="00081E72" w:rsidRPr="00F01A00" w:rsidRDefault="00081E72" w:rsidP="00081E72">
      <w:pPr>
        <w:pStyle w:val="Bibliography"/>
        <w:rPr>
          <w:rFonts w:ascii="Arial" w:hAnsi="Arial" w:cs="Arial"/>
          <w:sz w:val="22"/>
        </w:rPr>
      </w:pPr>
      <w:r w:rsidRPr="00F01A00">
        <w:rPr>
          <w:rFonts w:ascii="Arial" w:hAnsi="Arial" w:cs="Arial"/>
          <w:sz w:val="22"/>
        </w:rPr>
        <w:t>[29]</w:t>
      </w:r>
      <w:r w:rsidRPr="00F01A00">
        <w:rPr>
          <w:rFonts w:ascii="Arial" w:hAnsi="Arial" w:cs="Arial"/>
          <w:sz w:val="22"/>
        </w:rPr>
        <w:tab/>
        <w:t xml:space="preserve">J. A. Carozza </w:t>
      </w:r>
      <w:r w:rsidRPr="00F01A00">
        <w:rPr>
          <w:rFonts w:ascii="Arial" w:hAnsi="Arial" w:cs="Arial"/>
          <w:i/>
          <w:iCs/>
          <w:sz w:val="22"/>
        </w:rPr>
        <w:t>et al.</w:t>
      </w:r>
      <w:r w:rsidRPr="00F01A00">
        <w:rPr>
          <w:rFonts w:ascii="Arial" w:hAnsi="Arial" w:cs="Arial"/>
          <w:sz w:val="22"/>
        </w:rPr>
        <w:t xml:space="preserve">, “Structure-Aided Development of Small-Molecule Inhibitors of ENPP1, the Extracellular Phosphodiesterase of the Immunotransmitter cGAMP.,” </w:t>
      </w:r>
      <w:r w:rsidRPr="00F01A00">
        <w:rPr>
          <w:rFonts w:ascii="Arial" w:hAnsi="Arial" w:cs="Arial"/>
          <w:i/>
          <w:iCs/>
          <w:sz w:val="22"/>
        </w:rPr>
        <w:t>Cell Chem. Biol.</w:t>
      </w:r>
      <w:r w:rsidRPr="00F01A00">
        <w:rPr>
          <w:rFonts w:ascii="Arial" w:hAnsi="Arial" w:cs="Arial"/>
          <w:sz w:val="22"/>
        </w:rPr>
        <w:t>, vol. 27, no. 11, pp. 1347-1358.e5, 2020, doi: 10.1016/j.chembiol.2020.07.007.</w:t>
      </w:r>
    </w:p>
    <w:p w14:paraId="3C50CBC6" w14:textId="4E90210D" w:rsidR="0024167B" w:rsidRPr="00F01A00" w:rsidRDefault="00E463BA" w:rsidP="006C1685">
      <w:pPr>
        <w:widowControl w:val="0"/>
        <w:autoSpaceDE w:val="0"/>
        <w:autoSpaceDN w:val="0"/>
        <w:adjustRightInd w:val="0"/>
        <w:ind w:left="640" w:hanging="640"/>
        <w:rPr>
          <w:rFonts w:ascii="Arial" w:eastAsia="Times New Roman" w:hAnsi="Arial" w:cs="Arial"/>
          <w:color w:val="000000"/>
          <w:sz w:val="22"/>
          <w:szCs w:val="22"/>
        </w:rPr>
      </w:pPr>
      <w:r w:rsidRPr="00F01A00">
        <w:rPr>
          <w:rFonts w:ascii="Arial" w:eastAsia="Times New Roman" w:hAnsi="Arial" w:cs="Arial"/>
          <w:color w:val="000000"/>
          <w:sz w:val="22"/>
          <w:szCs w:val="22"/>
        </w:rPr>
        <w:fldChar w:fldCharType="end"/>
      </w:r>
    </w:p>
    <w:p w14:paraId="61131055" w14:textId="77777777" w:rsidR="0024167B" w:rsidRPr="00F01A00" w:rsidRDefault="0024167B" w:rsidP="00AB2151">
      <w:pPr>
        <w:ind w:firstLine="720"/>
        <w:jc w:val="both"/>
        <w:rPr>
          <w:rFonts w:ascii="Arial" w:eastAsia="Times New Roman" w:hAnsi="Arial" w:cs="Arial"/>
          <w:color w:val="000000"/>
          <w:sz w:val="22"/>
          <w:szCs w:val="22"/>
        </w:rPr>
      </w:pPr>
    </w:p>
    <w:p w14:paraId="7F73197B" w14:textId="77777777" w:rsidR="0024167B" w:rsidRPr="00F01A00" w:rsidRDefault="0024167B" w:rsidP="00AB2151">
      <w:pPr>
        <w:ind w:firstLine="720"/>
        <w:jc w:val="both"/>
        <w:rPr>
          <w:rFonts w:ascii="Arial" w:eastAsia="Times New Roman" w:hAnsi="Arial" w:cs="Arial"/>
          <w:color w:val="000000"/>
          <w:sz w:val="22"/>
          <w:szCs w:val="22"/>
        </w:rPr>
      </w:pPr>
    </w:p>
    <w:p w14:paraId="29C2420C" w14:textId="4F739C47" w:rsidR="00133D11" w:rsidRPr="00F01A00" w:rsidRDefault="00133D11" w:rsidP="00AB2151">
      <w:pPr>
        <w:jc w:val="both"/>
        <w:rPr>
          <w:rFonts w:ascii="Arial" w:hAnsi="Arial" w:cs="Arial"/>
          <w:sz w:val="22"/>
          <w:szCs w:val="22"/>
        </w:rPr>
      </w:pPr>
    </w:p>
    <w:p w14:paraId="06293534" w14:textId="77777777" w:rsidR="00AB2151" w:rsidRPr="00F01A00" w:rsidRDefault="00AB2151">
      <w:pPr>
        <w:jc w:val="both"/>
        <w:rPr>
          <w:rFonts w:ascii="Arial" w:hAnsi="Arial" w:cs="Arial"/>
          <w:sz w:val="22"/>
          <w:szCs w:val="22"/>
        </w:rPr>
      </w:pPr>
    </w:p>
    <w:sectPr w:rsidR="00AB2151" w:rsidRPr="00F01A00" w:rsidSect="00AE7A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A37"/>
    <w:multiLevelType w:val="hybridMultilevel"/>
    <w:tmpl w:val="FF02AD24"/>
    <w:lvl w:ilvl="0" w:tplc="B34C0FF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3C6C95"/>
    <w:multiLevelType w:val="hybridMultilevel"/>
    <w:tmpl w:val="03449D5E"/>
    <w:lvl w:ilvl="0" w:tplc="A7E6AFF0">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A48E6"/>
    <w:multiLevelType w:val="hybridMultilevel"/>
    <w:tmpl w:val="FF02AD24"/>
    <w:lvl w:ilvl="0" w:tplc="B34C0FF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8C299F"/>
    <w:multiLevelType w:val="hybridMultilevel"/>
    <w:tmpl w:val="DD2A41BE"/>
    <w:lvl w:ilvl="0" w:tplc="A6C08490">
      <w:start w:val="1"/>
      <w:numFmt w:val="bullet"/>
      <w:lvlText w:val="•"/>
      <w:lvlJc w:val="left"/>
      <w:pPr>
        <w:tabs>
          <w:tab w:val="num" w:pos="720"/>
        </w:tabs>
        <w:ind w:left="720" w:hanging="360"/>
      </w:pPr>
      <w:rPr>
        <w:rFonts w:ascii="Arial" w:hAnsi="Arial" w:hint="default"/>
      </w:rPr>
    </w:lvl>
    <w:lvl w:ilvl="1" w:tplc="F7AC0B96" w:tentative="1">
      <w:start w:val="1"/>
      <w:numFmt w:val="bullet"/>
      <w:lvlText w:val="•"/>
      <w:lvlJc w:val="left"/>
      <w:pPr>
        <w:tabs>
          <w:tab w:val="num" w:pos="1440"/>
        </w:tabs>
        <w:ind w:left="1440" w:hanging="360"/>
      </w:pPr>
      <w:rPr>
        <w:rFonts w:ascii="Arial" w:hAnsi="Arial" w:hint="default"/>
      </w:rPr>
    </w:lvl>
    <w:lvl w:ilvl="2" w:tplc="E1BA1C32" w:tentative="1">
      <w:start w:val="1"/>
      <w:numFmt w:val="bullet"/>
      <w:lvlText w:val="•"/>
      <w:lvlJc w:val="left"/>
      <w:pPr>
        <w:tabs>
          <w:tab w:val="num" w:pos="2160"/>
        </w:tabs>
        <w:ind w:left="2160" w:hanging="360"/>
      </w:pPr>
      <w:rPr>
        <w:rFonts w:ascii="Arial" w:hAnsi="Arial" w:hint="default"/>
      </w:rPr>
    </w:lvl>
    <w:lvl w:ilvl="3" w:tplc="19923462" w:tentative="1">
      <w:start w:val="1"/>
      <w:numFmt w:val="bullet"/>
      <w:lvlText w:val="•"/>
      <w:lvlJc w:val="left"/>
      <w:pPr>
        <w:tabs>
          <w:tab w:val="num" w:pos="2880"/>
        </w:tabs>
        <w:ind w:left="2880" w:hanging="360"/>
      </w:pPr>
      <w:rPr>
        <w:rFonts w:ascii="Arial" w:hAnsi="Arial" w:hint="default"/>
      </w:rPr>
    </w:lvl>
    <w:lvl w:ilvl="4" w:tplc="DD045BEE" w:tentative="1">
      <w:start w:val="1"/>
      <w:numFmt w:val="bullet"/>
      <w:lvlText w:val="•"/>
      <w:lvlJc w:val="left"/>
      <w:pPr>
        <w:tabs>
          <w:tab w:val="num" w:pos="3600"/>
        </w:tabs>
        <w:ind w:left="3600" w:hanging="360"/>
      </w:pPr>
      <w:rPr>
        <w:rFonts w:ascii="Arial" w:hAnsi="Arial" w:hint="default"/>
      </w:rPr>
    </w:lvl>
    <w:lvl w:ilvl="5" w:tplc="4A9A7566" w:tentative="1">
      <w:start w:val="1"/>
      <w:numFmt w:val="bullet"/>
      <w:lvlText w:val="•"/>
      <w:lvlJc w:val="left"/>
      <w:pPr>
        <w:tabs>
          <w:tab w:val="num" w:pos="4320"/>
        </w:tabs>
        <w:ind w:left="4320" w:hanging="360"/>
      </w:pPr>
      <w:rPr>
        <w:rFonts w:ascii="Arial" w:hAnsi="Arial" w:hint="default"/>
      </w:rPr>
    </w:lvl>
    <w:lvl w:ilvl="6" w:tplc="6E9250F4" w:tentative="1">
      <w:start w:val="1"/>
      <w:numFmt w:val="bullet"/>
      <w:lvlText w:val="•"/>
      <w:lvlJc w:val="left"/>
      <w:pPr>
        <w:tabs>
          <w:tab w:val="num" w:pos="5040"/>
        </w:tabs>
        <w:ind w:left="5040" w:hanging="360"/>
      </w:pPr>
      <w:rPr>
        <w:rFonts w:ascii="Arial" w:hAnsi="Arial" w:hint="default"/>
      </w:rPr>
    </w:lvl>
    <w:lvl w:ilvl="7" w:tplc="179C0FA2" w:tentative="1">
      <w:start w:val="1"/>
      <w:numFmt w:val="bullet"/>
      <w:lvlText w:val="•"/>
      <w:lvlJc w:val="left"/>
      <w:pPr>
        <w:tabs>
          <w:tab w:val="num" w:pos="5760"/>
        </w:tabs>
        <w:ind w:left="5760" w:hanging="360"/>
      </w:pPr>
      <w:rPr>
        <w:rFonts w:ascii="Arial" w:hAnsi="Arial" w:hint="default"/>
      </w:rPr>
    </w:lvl>
    <w:lvl w:ilvl="8" w:tplc="3CD2B44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20280C"/>
    <w:multiLevelType w:val="hybridMultilevel"/>
    <w:tmpl w:val="2B107994"/>
    <w:lvl w:ilvl="0" w:tplc="BFA6E060">
      <w:start w:val="1"/>
      <w:numFmt w:val="upperLetter"/>
      <w:lvlText w:val="%1."/>
      <w:lvlJc w:val="left"/>
      <w:pPr>
        <w:tabs>
          <w:tab w:val="num" w:pos="720"/>
        </w:tabs>
        <w:ind w:left="720" w:hanging="360"/>
      </w:pPr>
    </w:lvl>
    <w:lvl w:ilvl="1" w:tplc="43F09BF0" w:tentative="1">
      <w:start w:val="1"/>
      <w:numFmt w:val="upperLetter"/>
      <w:lvlText w:val="%2."/>
      <w:lvlJc w:val="left"/>
      <w:pPr>
        <w:tabs>
          <w:tab w:val="num" w:pos="1440"/>
        </w:tabs>
        <w:ind w:left="1440" w:hanging="360"/>
      </w:pPr>
    </w:lvl>
    <w:lvl w:ilvl="2" w:tplc="B83A1970" w:tentative="1">
      <w:start w:val="1"/>
      <w:numFmt w:val="upperLetter"/>
      <w:lvlText w:val="%3."/>
      <w:lvlJc w:val="left"/>
      <w:pPr>
        <w:tabs>
          <w:tab w:val="num" w:pos="2160"/>
        </w:tabs>
        <w:ind w:left="2160" w:hanging="360"/>
      </w:pPr>
    </w:lvl>
    <w:lvl w:ilvl="3" w:tplc="569E7E4A" w:tentative="1">
      <w:start w:val="1"/>
      <w:numFmt w:val="upperLetter"/>
      <w:lvlText w:val="%4."/>
      <w:lvlJc w:val="left"/>
      <w:pPr>
        <w:tabs>
          <w:tab w:val="num" w:pos="2880"/>
        </w:tabs>
        <w:ind w:left="2880" w:hanging="360"/>
      </w:pPr>
    </w:lvl>
    <w:lvl w:ilvl="4" w:tplc="71D8E16E" w:tentative="1">
      <w:start w:val="1"/>
      <w:numFmt w:val="upperLetter"/>
      <w:lvlText w:val="%5."/>
      <w:lvlJc w:val="left"/>
      <w:pPr>
        <w:tabs>
          <w:tab w:val="num" w:pos="3600"/>
        </w:tabs>
        <w:ind w:left="3600" w:hanging="360"/>
      </w:pPr>
    </w:lvl>
    <w:lvl w:ilvl="5" w:tplc="F68CDDEC" w:tentative="1">
      <w:start w:val="1"/>
      <w:numFmt w:val="upperLetter"/>
      <w:lvlText w:val="%6."/>
      <w:lvlJc w:val="left"/>
      <w:pPr>
        <w:tabs>
          <w:tab w:val="num" w:pos="4320"/>
        </w:tabs>
        <w:ind w:left="4320" w:hanging="360"/>
      </w:pPr>
    </w:lvl>
    <w:lvl w:ilvl="6" w:tplc="299CB56A" w:tentative="1">
      <w:start w:val="1"/>
      <w:numFmt w:val="upperLetter"/>
      <w:lvlText w:val="%7."/>
      <w:lvlJc w:val="left"/>
      <w:pPr>
        <w:tabs>
          <w:tab w:val="num" w:pos="5040"/>
        </w:tabs>
        <w:ind w:left="5040" w:hanging="360"/>
      </w:pPr>
    </w:lvl>
    <w:lvl w:ilvl="7" w:tplc="234A5572" w:tentative="1">
      <w:start w:val="1"/>
      <w:numFmt w:val="upperLetter"/>
      <w:lvlText w:val="%8."/>
      <w:lvlJc w:val="left"/>
      <w:pPr>
        <w:tabs>
          <w:tab w:val="num" w:pos="5760"/>
        </w:tabs>
        <w:ind w:left="5760" w:hanging="360"/>
      </w:pPr>
    </w:lvl>
    <w:lvl w:ilvl="8" w:tplc="7C902B7C" w:tentative="1">
      <w:start w:val="1"/>
      <w:numFmt w:val="upperLetter"/>
      <w:lvlText w:val="%9."/>
      <w:lvlJc w:val="left"/>
      <w:pPr>
        <w:tabs>
          <w:tab w:val="num" w:pos="6480"/>
        </w:tabs>
        <w:ind w:left="6480" w:hanging="360"/>
      </w:pPr>
    </w:lvl>
  </w:abstractNum>
  <w:abstractNum w:abstractNumId="5" w15:restartNumberingAfterBreak="0">
    <w:nsid w:val="21020601"/>
    <w:multiLevelType w:val="multilevel"/>
    <w:tmpl w:val="29B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35B75"/>
    <w:multiLevelType w:val="multilevel"/>
    <w:tmpl w:val="DBD4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93260"/>
    <w:multiLevelType w:val="hybridMultilevel"/>
    <w:tmpl w:val="9C3C448C"/>
    <w:lvl w:ilvl="0" w:tplc="182A8342">
      <w:start w:val="1"/>
      <w:numFmt w:val="bullet"/>
      <w:lvlText w:val="•"/>
      <w:lvlJc w:val="left"/>
      <w:pPr>
        <w:tabs>
          <w:tab w:val="num" w:pos="720"/>
        </w:tabs>
        <w:ind w:left="720" w:hanging="360"/>
      </w:pPr>
      <w:rPr>
        <w:rFonts w:ascii="Arial" w:hAnsi="Arial" w:hint="default"/>
      </w:rPr>
    </w:lvl>
    <w:lvl w:ilvl="1" w:tplc="F648B3E4" w:tentative="1">
      <w:start w:val="1"/>
      <w:numFmt w:val="bullet"/>
      <w:lvlText w:val="•"/>
      <w:lvlJc w:val="left"/>
      <w:pPr>
        <w:tabs>
          <w:tab w:val="num" w:pos="1440"/>
        </w:tabs>
        <w:ind w:left="1440" w:hanging="360"/>
      </w:pPr>
      <w:rPr>
        <w:rFonts w:ascii="Arial" w:hAnsi="Arial" w:hint="default"/>
      </w:rPr>
    </w:lvl>
    <w:lvl w:ilvl="2" w:tplc="E9F4BC8E" w:tentative="1">
      <w:start w:val="1"/>
      <w:numFmt w:val="bullet"/>
      <w:lvlText w:val="•"/>
      <w:lvlJc w:val="left"/>
      <w:pPr>
        <w:tabs>
          <w:tab w:val="num" w:pos="2160"/>
        </w:tabs>
        <w:ind w:left="2160" w:hanging="360"/>
      </w:pPr>
      <w:rPr>
        <w:rFonts w:ascii="Arial" w:hAnsi="Arial" w:hint="default"/>
      </w:rPr>
    </w:lvl>
    <w:lvl w:ilvl="3" w:tplc="40F8BBC6" w:tentative="1">
      <w:start w:val="1"/>
      <w:numFmt w:val="bullet"/>
      <w:lvlText w:val="•"/>
      <w:lvlJc w:val="left"/>
      <w:pPr>
        <w:tabs>
          <w:tab w:val="num" w:pos="2880"/>
        </w:tabs>
        <w:ind w:left="2880" w:hanging="360"/>
      </w:pPr>
      <w:rPr>
        <w:rFonts w:ascii="Arial" w:hAnsi="Arial" w:hint="default"/>
      </w:rPr>
    </w:lvl>
    <w:lvl w:ilvl="4" w:tplc="43CA16FA" w:tentative="1">
      <w:start w:val="1"/>
      <w:numFmt w:val="bullet"/>
      <w:lvlText w:val="•"/>
      <w:lvlJc w:val="left"/>
      <w:pPr>
        <w:tabs>
          <w:tab w:val="num" w:pos="3600"/>
        </w:tabs>
        <w:ind w:left="3600" w:hanging="360"/>
      </w:pPr>
      <w:rPr>
        <w:rFonts w:ascii="Arial" w:hAnsi="Arial" w:hint="default"/>
      </w:rPr>
    </w:lvl>
    <w:lvl w:ilvl="5" w:tplc="DED888BA" w:tentative="1">
      <w:start w:val="1"/>
      <w:numFmt w:val="bullet"/>
      <w:lvlText w:val="•"/>
      <w:lvlJc w:val="left"/>
      <w:pPr>
        <w:tabs>
          <w:tab w:val="num" w:pos="4320"/>
        </w:tabs>
        <w:ind w:left="4320" w:hanging="360"/>
      </w:pPr>
      <w:rPr>
        <w:rFonts w:ascii="Arial" w:hAnsi="Arial" w:hint="default"/>
      </w:rPr>
    </w:lvl>
    <w:lvl w:ilvl="6" w:tplc="E848BA06" w:tentative="1">
      <w:start w:val="1"/>
      <w:numFmt w:val="bullet"/>
      <w:lvlText w:val="•"/>
      <w:lvlJc w:val="left"/>
      <w:pPr>
        <w:tabs>
          <w:tab w:val="num" w:pos="5040"/>
        </w:tabs>
        <w:ind w:left="5040" w:hanging="360"/>
      </w:pPr>
      <w:rPr>
        <w:rFonts w:ascii="Arial" w:hAnsi="Arial" w:hint="default"/>
      </w:rPr>
    </w:lvl>
    <w:lvl w:ilvl="7" w:tplc="04520F72" w:tentative="1">
      <w:start w:val="1"/>
      <w:numFmt w:val="bullet"/>
      <w:lvlText w:val="•"/>
      <w:lvlJc w:val="left"/>
      <w:pPr>
        <w:tabs>
          <w:tab w:val="num" w:pos="5760"/>
        </w:tabs>
        <w:ind w:left="5760" w:hanging="360"/>
      </w:pPr>
      <w:rPr>
        <w:rFonts w:ascii="Arial" w:hAnsi="Arial" w:hint="default"/>
      </w:rPr>
    </w:lvl>
    <w:lvl w:ilvl="8" w:tplc="C6B0CE5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6A7257"/>
    <w:multiLevelType w:val="hybridMultilevel"/>
    <w:tmpl w:val="6BBC9CDA"/>
    <w:lvl w:ilvl="0" w:tplc="E52E9D5C">
      <w:start w:val="1"/>
      <w:numFmt w:val="lowerRoman"/>
      <w:lvlText w:val="%1."/>
      <w:lvlJc w:val="left"/>
      <w:pPr>
        <w:ind w:left="1640" w:hanging="9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A972DB9"/>
    <w:multiLevelType w:val="hybridMultilevel"/>
    <w:tmpl w:val="85489E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1B5053"/>
    <w:multiLevelType w:val="hybridMultilevel"/>
    <w:tmpl w:val="A420FD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5460BD7"/>
    <w:multiLevelType w:val="hybridMultilevel"/>
    <w:tmpl w:val="DE1A4FCE"/>
    <w:lvl w:ilvl="0" w:tplc="F5FC683C">
      <w:start w:val="1"/>
      <w:numFmt w:val="bullet"/>
      <w:lvlText w:val="•"/>
      <w:lvlJc w:val="left"/>
      <w:pPr>
        <w:tabs>
          <w:tab w:val="num" w:pos="720"/>
        </w:tabs>
        <w:ind w:left="720" w:hanging="360"/>
      </w:pPr>
      <w:rPr>
        <w:rFonts w:ascii="Arial" w:hAnsi="Arial" w:hint="default"/>
      </w:rPr>
    </w:lvl>
    <w:lvl w:ilvl="1" w:tplc="52AE4CD8" w:tentative="1">
      <w:start w:val="1"/>
      <w:numFmt w:val="bullet"/>
      <w:lvlText w:val="•"/>
      <w:lvlJc w:val="left"/>
      <w:pPr>
        <w:tabs>
          <w:tab w:val="num" w:pos="1440"/>
        </w:tabs>
        <w:ind w:left="1440" w:hanging="360"/>
      </w:pPr>
      <w:rPr>
        <w:rFonts w:ascii="Arial" w:hAnsi="Arial" w:hint="default"/>
      </w:rPr>
    </w:lvl>
    <w:lvl w:ilvl="2" w:tplc="54105660" w:tentative="1">
      <w:start w:val="1"/>
      <w:numFmt w:val="bullet"/>
      <w:lvlText w:val="•"/>
      <w:lvlJc w:val="left"/>
      <w:pPr>
        <w:tabs>
          <w:tab w:val="num" w:pos="2160"/>
        </w:tabs>
        <w:ind w:left="2160" w:hanging="360"/>
      </w:pPr>
      <w:rPr>
        <w:rFonts w:ascii="Arial" w:hAnsi="Arial" w:hint="default"/>
      </w:rPr>
    </w:lvl>
    <w:lvl w:ilvl="3" w:tplc="F8CC6B58" w:tentative="1">
      <w:start w:val="1"/>
      <w:numFmt w:val="bullet"/>
      <w:lvlText w:val="•"/>
      <w:lvlJc w:val="left"/>
      <w:pPr>
        <w:tabs>
          <w:tab w:val="num" w:pos="2880"/>
        </w:tabs>
        <w:ind w:left="2880" w:hanging="360"/>
      </w:pPr>
      <w:rPr>
        <w:rFonts w:ascii="Arial" w:hAnsi="Arial" w:hint="default"/>
      </w:rPr>
    </w:lvl>
    <w:lvl w:ilvl="4" w:tplc="76E0E804" w:tentative="1">
      <w:start w:val="1"/>
      <w:numFmt w:val="bullet"/>
      <w:lvlText w:val="•"/>
      <w:lvlJc w:val="left"/>
      <w:pPr>
        <w:tabs>
          <w:tab w:val="num" w:pos="3600"/>
        </w:tabs>
        <w:ind w:left="3600" w:hanging="360"/>
      </w:pPr>
      <w:rPr>
        <w:rFonts w:ascii="Arial" w:hAnsi="Arial" w:hint="default"/>
      </w:rPr>
    </w:lvl>
    <w:lvl w:ilvl="5" w:tplc="82A205BC" w:tentative="1">
      <w:start w:val="1"/>
      <w:numFmt w:val="bullet"/>
      <w:lvlText w:val="•"/>
      <w:lvlJc w:val="left"/>
      <w:pPr>
        <w:tabs>
          <w:tab w:val="num" w:pos="4320"/>
        </w:tabs>
        <w:ind w:left="4320" w:hanging="360"/>
      </w:pPr>
      <w:rPr>
        <w:rFonts w:ascii="Arial" w:hAnsi="Arial" w:hint="default"/>
      </w:rPr>
    </w:lvl>
    <w:lvl w:ilvl="6" w:tplc="615C5A9A" w:tentative="1">
      <w:start w:val="1"/>
      <w:numFmt w:val="bullet"/>
      <w:lvlText w:val="•"/>
      <w:lvlJc w:val="left"/>
      <w:pPr>
        <w:tabs>
          <w:tab w:val="num" w:pos="5040"/>
        </w:tabs>
        <w:ind w:left="5040" w:hanging="360"/>
      </w:pPr>
      <w:rPr>
        <w:rFonts w:ascii="Arial" w:hAnsi="Arial" w:hint="default"/>
      </w:rPr>
    </w:lvl>
    <w:lvl w:ilvl="7" w:tplc="5E4C0590" w:tentative="1">
      <w:start w:val="1"/>
      <w:numFmt w:val="bullet"/>
      <w:lvlText w:val="•"/>
      <w:lvlJc w:val="left"/>
      <w:pPr>
        <w:tabs>
          <w:tab w:val="num" w:pos="5760"/>
        </w:tabs>
        <w:ind w:left="5760" w:hanging="360"/>
      </w:pPr>
      <w:rPr>
        <w:rFonts w:ascii="Arial" w:hAnsi="Arial" w:hint="default"/>
      </w:rPr>
    </w:lvl>
    <w:lvl w:ilvl="8" w:tplc="CF2450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721278E"/>
    <w:multiLevelType w:val="hybridMultilevel"/>
    <w:tmpl w:val="4B8CD160"/>
    <w:lvl w:ilvl="0" w:tplc="C8D2B06A">
      <w:start w:val="1"/>
      <w:numFmt w:val="upperLetter"/>
      <w:lvlText w:val="%1."/>
      <w:lvlJc w:val="left"/>
      <w:pPr>
        <w:tabs>
          <w:tab w:val="num" w:pos="720"/>
        </w:tabs>
        <w:ind w:left="720" w:hanging="360"/>
      </w:pPr>
    </w:lvl>
    <w:lvl w:ilvl="1" w:tplc="5CBE80DC" w:tentative="1">
      <w:start w:val="1"/>
      <w:numFmt w:val="upperLetter"/>
      <w:lvlText w:val="%2."/>
      <w:lvlJc w:val="left"/>
      <w:pPr>
        <w:tabs>
          <w:tab w:val="num" w:pos="1440"/>
        </w:tabs>
        <w:ind w:left="1440" w:hanging="360"/>
      </w:pPr>
    </w:lvl>
    <w:lvl w:ilvl="2" w:tplc="F7562518" w:tentative="1">
      <w:start w:val="1"/>
      <w:numFmt w:val="upperLetter"/>
      <w:lvlText w:val="%3."/>
      <w:lvlJc w:val="left"/>
      <w:pPr>
        <w:tabs>
          <w:tab w:val="num" w:pos="2160"/>
        </w:tabs>
        <w:ind w:left="2160" w:hanging="360"/>
      </w:pPr>
    </w:lvl>
    <w:lvl w:ilvl="3" w:tplc="7414BD16" w:tentative="1">
      <w:start w:val="1"/>
      <w:numFmt w:val="upperLetter"/>
      <w:lvlText w:val="%4."/>
      <w:lvlJc w:val="left"/>
      <w:pPr>
        <w:tabs>
          <w:tab w:val="num" w:pos="2880"/>
        </w:tabs>
        <w:ind w:left="2880" w:hanging="360"/>
      </w:pPr>
    </w:lvl>
    <w:lvl w:ilvl="4" w:tplc="99528098" w:tentative="1">
      <w:start w:val="1"/>
      <w:numFmt w:val="upperLetter"/>
      <w:lvlText w:val="%5."/>
      <w:lvlJc w:val="left"/>
      <w:pPr>
        <w:tabs>
          <w:tab w:val="num" w:pos="3600"/>
        </w:tabs>
        <w:ind w:left="3600" w:hanging="360"/>
      </w:pPr>
    </w:lvl>
    <w:lvl w:ilvl="5" w:tplc="D3645E28" w:tentative="1">
      <w:start w:val="1"/>
      <w:numFmt w:val="upperLetter"/>
      <w:lvlText w:val="%6."/>
      <w:lvlJc w:val="left"/>
      <w:pPr>
        <w:tabs>
          <w:tab w:val="num" w:pos="4320"/>
        </w:tabs>
        <w:ind w:left="4320" w:hanging="360"/>
      </w:pPr>
    </w:lvl>
    <w:lvl w:ilvl="6" w:tplc="ADFE79C2" w:tentative="1">
      <w:start w:val="1"/>
      <w:numFmt w:val="upperLetter"/>
      <w:lvlText w:val="%7."/>
      <w:lvlJc w:val="left"/>
      <w:pPr>
        <w:tabs>
          <w:tab w:val="num" w:pos="5040"/>
        </w:tabs>
        <w:ind w:left="5040" w:hanging="360"/>
      </w:pPr>
    </w:lvl>
    <w:lvl w:ilvl="7" w:tplc="740417E0" w:tentative="1">
      <w:start w:val="1"/>
      <w:numFmt w:val="upperLetter"/>
      <w:lvlText w:val="%8."/>
      <w:lvlJc w:val="left"/>
      <w:pPr>
        <w:tabs>
          <w:tab w:val="num" w:pos="5760"/>
        </w:tabs>
        <w:ind w:left="5760" w:hanging="360"/>
      </w:pPr>
    </w:lvl>
    <w:lvl w:ilvl="8" w:tplc="3A4A9C58" w:tentative="1">
      <w:start w:val="1"/>
      <w:numFmt w:val="upperLetter"/>
      <w:lvlText w:val="%9."/>
      <w:lvlJc w:val="left"/>
      <w:pPr>
        <w:tabs>
          <w:tab w:val="num" w:pos="6480"/>
        </w:tabs>
        <w:ind w:left="6480" w:hanging="360"/>
      </w:pPr>
    </w:lvl>
  </w:abstractNum>
  <w:abstractNum w:abstractNumId="13" w15:restartNumberingAfterBreak="0">
    <w:nsid w:val="73E32F0F"/>
    <w:multiLevelType w:val="hybridMultilevel"/>
    <w:tmpl w:val="FBD6D9D0"/>
    <w:lvl w:ilvl="0" w:tplc="858A5FD8">
      <w:start w:val="1"/>
      <w:numFmt w:val="bullet"/>
      <w:lvlText w:val="•"/>
      <w:lvlJc w:val="left"/>
      <w:pPr>
        <w:tabs>
          <w:tab w:val="num" w:pos="720"/>
        </w:tabs>
        <w:ind w:left="720" w:hanging="360"/>
      </w:pPr>
      <w:rPr>
        <w:rFonts w:ascii="Arial" w:hAnsi="Arial" w:hint="default"/>
      </w:rPr>
    </w:lvl>
    <w:lvl w:ilvl="1" w:tplc="3E607812" w:tentative="1">
      <w:start w:val="1"/>
      <w:numFmt w:val="bullet"/>
      <w:lvlText w:val="•"/>
      <w:lvlJc w:val="left"/>
      <w:pPr>
        <w:tabs>
          <w:tab w:val="num" w:pos="1440"/>
        </w:tabs>
        <w:ind w:left="1440" w:hanging="360"/>
      </w:pPr>
      <w:rPr>
        <w:rFonts w:ascii="Arial" w:hAnsi="Arial" w:hint="default"/>
      </w:rPr>
    </w:lvl>
    <w:lvl w:ilvl="2" w:tplc="DDD6DEC2" w:tentative="1">
      <w:start w:val="1"/>
      <w:numFmt w:val="bullet"/>
      <w:lvlText w:val="•"/>
      <w:lvlJc w:val="left"/>
      <w:pPr>
        <w:tabs>
          <w:tab w:val="num" w:pos="2160"/>
        </w:tabs>
        <w:ind w:left="2160" w:hanging="360"/>
      </w:pPr>
      <w:rPr>
        <w:rFonts w:ascii="Arial" w:hAnsi="Arial" w:hint="default"/>
      </w:rPr>
    </w:lvl>
    <w:lvl w:ilvl="3" w:tplc="7B8040FE" w:tentative="1">
      <w:start w:val="1"/>
      <w:numFmt w:val="bullet"/>
      <w:lvlText w:val="•"/>
      <w:lvlJc w:val="left"/>
      <w:pPr>
        <w:tabs>
          <w:tab w:val="num" w:pos="2880"/>
        </w:tabs>
        <w:ind w:left="2880" w:hanging="360"/>
      </w:pPr>
      <w:rPr>
        <w:rFonts w:ascii="Arial" w:hAnsi="Arial" w:hint="default"/>
      </w:rPr>
    </w:lvl>
    <w:lvl w:ilvl="4" w:tplc="D9E0F8A8" w:tentative="1">
      <w:start w:val="1"/>
      <w:numFmt w:val="bullet"/>
      <w:lvlText w:val="•"/>
      <w:lvlJc w:val="left"/>
      <w:pPr>
        <w:tabs>
          <w:tab w:val="num" w:pos="3600"/>
        </w:tabs>
        <w:ind w:left="3600" w:hanging="360"/>
      </w:pPr>
      <w:rPr>
        <w:rFonts w:ascii="Arial" w:hAnsi="Arial" w:hint="default"/>
      </w:rPr>
    </w:lvl>
    <w:lvl w:ilvl="5" w:tplc="D9320DDC" w:tentative="1">
      <w:start w:val="1"/>
      <w:numFmt w:val="bullet"/>
      <w:lvlText w:val="•"/>
      <w:lvlJc w:val="left"/>
      <w:pPr>
        <w:tabs>
          <w:tab w:val="num" w:pos="4320"/>
        </w:tabs>
        <w:ind w:left="4320" w:hanging="360"/>
      </w:pPr>
      <w:rPr>
        <w:rFonts w:ascii="Arial" w:hAnsi="Arial" w:hint="default"/>
      </w:rPr>
    </w:lvl>
    <w:lvl w:ilvl="6" w:tplc="0576E2E8" w:tentative="1">
      <w:start w:val="1"/>
      <w:numFmt w:val="bullet"/>
      <w:lvlText w:val="•"/>
      <w:lvlJc w:val="left"/>
      <w:pPr>
        <w:tabs>
          <w:tab w:val="num" w:pos="5040"/>
        </w:tabs>
        <w:ind w:left="5040" w:hanging="360"/>
      </w:pPr>
      <w:rPr>
        <w:rFonts w:ascii="Arial" w:hAnsi="Arial" w:hint="default"/>
      </w:rPr>
    </w:lvl>
    <w:lvl w:ilvl="7" w:tplc="A4280832" w:tentative="1">
      <w:start w:val="1"/>
      <w:numFmt w:val="bullet"/>
      <w:lvlText w:val="•"/>
      <w:lvlJc w:val="left"/>
      <w:pPr>
        <w:tabs>
          <w:tab w:val="num" w:pos="5760"/>
        </w:tabs>
        <w:ind w:left="5760" w:hanging="360"/>
      </w:pPr>
      <w:rPr>
        <w:rFonts w:ascii="Arial" w:hAnsi="Arial" w:hint="default"/>
      </w:rPr>
    </w:lvl>
    <w:lvl w:ilvl="8" w:tplc="B1D255E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54A63B1"/>
    <w:multiLevelType w:val="hybridMultilevel"/>
    <w:tmpl w:val="24984072"/>
    <w:lvl w:ilvl="0" w:tplc="889894A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25087933">
    <w:abstractNumId w:val="0"/>
  </w:num>
  <w:num w:numId="2" w16cid:durableId="1196190701">
    <w:abstractNumId w:val="14"/>
  </w:num>
  <w:num w:numId="3" w16cid:durableId="1820147287">
    <w:abstractNumId w:val="9"/>
  </w:num>
  <w:num w:numId="4" w16cid:durableId="510605447">
    <w:abstractNumId w:val="2"/>
  </w:num>
  <w:num w:numId="5" w16cid:durableId="1758166050">
    <w:abstractNumId w:val="8"/>
  </w:num>
  <w:num w:numId="6" w16cid:durableId="1860965933">
    <w:abstractNumId w:val="10"/>
  </w:num>
  <w:num w:numId="7" w16cid:durableId="1388719032">
    <w:abstractNumId w:val="4"/>
  </w:num>
  <w:num w:numId="8" w16cid:durableId="246230812">
    <w:abstractNumId w:val="5"/>
  </w:num>
  <w:num w:numId="9" w16cid:durableId="688484422">
    <w:abstractNumId w:val="12"/>
  </w:num>
  <w:num w:numId="10" w16cid:durableId="1824076746">
    <w:abstractNumId w:val="6"/>
  </w:num>
  <w:num w:numId="11" w16cid:durableId="964769712">
    <w:abstractNumId w:val="1"/>
  </w:num>
  <w:num w:numId="12" w16cid:durableId="820316362">
    <w:abstractNumId w:val="3"/>
  </w:num>
  <w:num w:numId="13" w16cid:durableId="747768316">
    <w:abstractNumId w:val="7"/>
  </w:num>
  <w:num w:numId="14" w16cid:durableId="1695228921">
    <w:abstractNumId w:val="13"/>
  </w:num>
  <w:num w:numId="15" w16cid:durableId="9934894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FB0"/>
    <w:rsid w:val="000014F9"/>
    <w:rsid w:val="00003021"/>
    <w:rsid w:val="0000485F"/>
    <w:rsid w:val="00004BB0"/>
    <w:rsid w:val="00007D26"/>
    <w:rsid w:val="00013C08"/>
    <w:rsid w:val="000157B2"/>
    <w:rsid w:val="0002066D"/>
    <w:rsid w:val="00025DA6"/>
    <w:rsid w:val="000276B3"/>
    <w:rsid w:val="00043CCE"/>
    <w:rsid w:val="0005073A"/>
    <w:rsid w:val="0005479B"/>
    <w:rsid w:val="00057D8E"/>
    <w:rsid w:val="00065659"/>
    <w:rsid w:val="000717DB"/>
    <w:rsid w:val="0007597D"/>
    <w:rsid w:val="00075C24"/>
    <w:rsid w:val="00077CE6"/>
    <w:rsid w:val="00081E72"/>
    <w:rsid w:val="00085D8D"/>
    <w:rsid w:val="00093F84"/>
    <w:rsid w:val="00095921"/>
    <w:rsid w:val="000A7D3E"/>
    <w:rsid w:val="000B421C"/>
    <w:rsid w:val="000B5286"/>
    <w:rsid w:val="000B7926"/>
    <w:rsid w:val="000B7D2A"/>
    <w:rsid w:val="000C0628"/>
    <w:rsid w:val="000C3408"/>
    <w:rsid w:val="000C3969"/>
    <w:rsid w:val="000C771F"/>
    <w:rsid w:val="000D4B88"/>
    <w:rsid w:val="000E7E46"/>
    <w:rsid w:val="000F2433"/>
    <w:rsid w:val="000F5115"/>
    <w:rsid w:val="0010709E"/>
    <w:rsid w:val="00131348"/>
    <w:rsid w:val="001325A1"/>
    <w:rsid w:val="00133D11"/>
    <w:rsid w:val="0016099E"/>
    <w:rsid w:val="00162B95"/>
    <w:rsid w:val="00174345"/>
    <w:rsid w:val="001C4E5B"/>
    <w:rsid w:val="001D1E48"/>
    <w:rsid w:val="001D3721"/>
    <w:rsid w:val="001D7BC6"/>
    <w:rsid w:val="001E0E23"/>
    <w:rsid w:val="001F0022"/>
    <w:rsid w:val="001F6372"/>
    <w:rsid w:val="00204C4B"/>
    <w:rsid w:val="00210F9F"/>
    <w:rsid w:val="00213A85"/>
    <w:rsid w:val="002246EC"/>
    <w:rsid w:val="00226FE6"/>
    <w:rsid w:val="00227C96"/>
    <w:rsid w:val="0024167B"/>
    <w:rsid w:val="00254C42"/>
    <w:rsid w:val="00263AAE"/>
    <w:rsid w:val="00281FC6"/>
    <w:rsid w:val="00283966"/>
    <w:rsid w:val="002965F1"/>
    <w:rsid w:val="00297A30"/>
    <w:rsid w:val="002A6D0F"/>
    <w:rsid w:val="002B0FB0"/>
    <w:rsid w:val="002B1270"/>
    <w:rsid w:val="002B17FB"/>
    <w:rsid w:val="002C23B7"/>
    <w:rsid w:val="002D341E"/>
    <w:rsid w:val="00303515"/>
    <w:rsid w:val="003061BA"/>
    <w:rsid w:val="0030682A"/>
    <w:rsid w:val="003165E6"/>
    <w:rsid w:val="0032165B"/>
    <w:rsid w:val="00322C9A"/>
    <w:rsid w:val="00326D28"/>
    <w:rsid w:val="00333CE9"/>
    <w:rsid w:val="003356FB"/>
    <w:rsid w:val="003423A1"/>
    <w:rsid w:val="00344D12"/>
    <w:rsid w:val="00345717"/>
    <w:rsid w:val="00352FD6"/>
    <w:rsid w:val="003572AF"/>
    <w:rsid w:val="00360C78"/>
    <w:rsid w:val="00367699"/>
    <w:rsid w:val="003722F9"/>
    <w:rsid w:val="00375231"/>
    <w:rsid w:val="003762BC"/>
    <w:rsid w:val="003837EB"/>
    <w:rsid w:val="003870D9"/>
    <w:rsid w:val="003928A5"/>
    <w:rsid w:val="00392D86"/>
    <w:rsid w:val="003B0CD3"/>
    <w:rsid w:val="003B28C0"/>
    <w:rsid w:val="003B300C"/>
    <w:rsid w:val="003E32A5"/>
    <w:rsid w:val="003E42E3"/>
    <w:rsid w:val="003E491B"/>
    <w:rsid w:val="003E59FA"/>
    <w:rsid w:val="003E59FC"/>
    <w:rsid w:val="003E62DE"/>
    <w:rsid w:val="0040623E"/>
    <w:rsid w:val="004125F9"/>
    <w:rsid w:val="004241A3"/>
    <w:rsid w:val="00434A30"/>
    <w:rsid w:val="004415F2"/>
    <w:rsid w:val="004417AB"/>
    <w:rsid w:val="0044268E"/>
    <w:rsid w:val="0044285F"/>
    <w:rsid w:val="00446D6D"/>
    <w:rsid w:val="0045277C"/>
    <w:rsid w:val="00463268"/>
    <w:rsid w:val="004656D7"/>
    <w:rsid w:val="004737D3"/>
    <w:rsid w:val="00475AD0"/>
    <w:rsid w:val="004838B3"/>
    <w:rsid w:val="00487584"/>
    <w:rsid w:val="004907B2"/>
    <w:rsid w:val="0049267F"/>
    <w:rsid w:val="00496E01"/>
    <w:rsid w:val="004A1AC2"/>
    <w:rsid w:val="004A25CE"/>
    <w:rsid w:val="004A31B2"/>
    <w:rsid w:val="004A50BD"/>
    <w:rsid w:val="004A63B8"/>
    <w:rsid w:val="004B0874"/>
    <w:rsid w:val="004B7D0F"/>
    <w:rsid w:val="004C07B3"/>
    <w:rsid w:val="004C1F4E"/>
    <w:rsid w:val="004D517F"/>
    <w:rsid w:val="004F2FF9"/>
    <w:rsid w:val="004F3B3B"/>
    <w:rsid w:val="004F49AA"/>
    <w:rsid w:val="004F7402"/>
    <w:rsid w:val="00510A80"/>
    <w:rsid w:val="005220F5"/>
    <w:rsid w:val="0052215F"/>
    <w:rsid w:val="00523D41"/>
    <w:rsid w:val="0052501A"/>
    <w:rsid w:val="0053213A"/>
    <w:rsid w:val="00536C9B"/>
    <w:rsid w:val="00542DE9"/>
    <w:rsid w:val="00564072"/>
    <w:rsid w:val="00567CE5"/>
    <w:rsid w:val="00574E87"/>
    <w:rsid w:val="00580D5B"/>
    <w:rsid w:val="00583A86"/>
    <w:rsid w:val="00585DA7"/>
    <w:rsid w:val="00595C67"/>
    <w:rsid w:val="005C0FA7"/>
    <w:rsid w:val="005C21F7"/>
    <w:rsid w:val="005C2975"/>
    <w:rsid w:val="005D2BC7"/>
    <w:rsid w:val="005D5051"/>
    <w:rsid w:val="005D7BDC"/>
    <w:rsid w:val="005E023A"/>
    <w:rsid w:val="005E2690"/>
    <w:rsid w:val="005E602C"/>
    <w:rsid w:val="005F226B"/>
    <w:rsid w:val="0064643D"/>
    <w:rsid w:val="00662EF6"/>
    <w:rsid w:val="00670F39"/>
    <w:rsid w:val="00672F50"/>
    <w:rsid w:val="006757EB"/>
    <w:rsid w:val="00682AC3"/>
    <w:rsid w:val="00682EC9"/>
    <w:rsid w:val="00683F9F"/>
    <w:rsid w:val="0069170C"/>
    <w:rsid w:val="006A447A"/>
    <w:rsid w:val="006B21C6"/>
    <w:rsid w:val="006B30A6"/>
    <w:rsid w:val="006B72B9"/>
    <w:rsid w:val="006B75C7"/>
    <w:rsid w:val="006C1685"/>
    <w:rsid w:val="006C2957"/>
    <w:rsid w:val="006D14B8"/>
    <w:rsid w:val="006D22FC"/>
    <w:rsid w:val="006E22C0"/>
    <w:rsid w:val="006E318B"/>
    <w:rsid w:val="006E4801"/>
    <w:rsid w:val="006F222E"/>
    <w:rsid w:val="007053BA"/>
    <w:rsid w:val="00711C63"/>
    <w:rsid w:val="00716391"/>
    <w:rsid w:val="0073121A"/>
    <w:rsid w:val="00760843"/>
    <w:rsid w:val="0076464F"/>
    <w:rsid w:val="00765ABC"/>
    <w:rsid w:val="007673EB"/>
    <w:rsid w:val="00773E91"/>
    <w:rsid w:val="00775202"/>
    <w:rsid w:val="00784CC2"/>
    <w:rsid w:val="00785F96"/>
    <w:rsid w:val="00793E7E"/>
    <w:rsid w:val="007955E8"/>
    <w:rsid w:val="007A7B3C"/>
    <w:rsid w:val="007B458D"/>
    <w:rsid w:val="007B5425"/>
    <w:rsid w:val="007C2CFA"/>
    <w:rsid w:val="007D081C"/>
    <w:rsid w:val="007D13C2"/>
    <w:rsid w:val="007D4DC9"/>
    <w:rsid w:val="007E2C73"/>
    <w:rsid w:val="007E3946"/>
    <w:rsid w:val="00803B9B"/>
    <w:rsid w:val="00804B7D"/>
    <w:rsid w:val="008061DF"/>
    <w:rsid w:val="008075FF"/>
    <w:rsid w:val="008265E9"/>
    <w:rsid w:val="00827BCB"/>
    <w:rsid w:val="00832041"/>
    <w:rsid w:val="00835C74"/>
    <w:rsid w:val="0083639A"/>
    <w:rsid w:val="008416FE"/>
    <w:rsid w:val="00851B5D"/>
    <w:rsid w:val="0085776D"/>
    <w:rsid w:val="00861C65"/>
    <w:rsid w:val="008902A3"/>
    <w:rsid w:val="008915F7"/>
    <w:rsid w:val="00893557"/>
    <w:rsid w:val="008942B6"/>
    <w:rsid w:val="00895B91"/>
    <w:rsid w:val="00896820"/>
    <w:rsid w:val="008A0EFF"/>
    <w:rsid w:val="008A4AC2"/>
    <w:rsid w:val="008B2596"/>
    <w:rsid w:val="008B7091"/>
    <w:rsid w:val="008C25B1"/>
    <w:rsid w:val="008D1C9F"/>
    <w:rsid w:val="008D2488"/>
    <w:rsid w:val="008D3FE4"/>
    <w:rsid w:val="008E3354"/>
    <w:rsid w:val="008E364E"/>
    <w:rsid w:val="008E58B4"/>
    <w:rsid w:val="008E73F6"/>
    <w:rsid w:val="008F50E0"/>
    <w:rsid w:val="009077C0"/>
    <w:rsid w:val="0092367E"/>
    <w:rsid w:val="00925B8C"/>
    <w:rsid w:val="0092629E"/>
    <w:rsid w:val="0092683C"/>
    <w:rsid w:val="00931FE0"/>
    <w:rsid w:val="00934952"/>
    <w:rsid w:val="009413EC"/>
    <w:rsid w:val="00955875"/>
    <w:rsid w:val="00964906"/>
    <w:rsid w:val="009729FB"/>
    <w:rsid w:val="00982025"/>
    <w:rsid w:val="00983B3E"/>
    <w:rsid w:val="00985AB9"/>
    <w:rsid w:val="009919F2"/>
    <w:rsid w:val="009D7383"/>
    <w:rsid w:val="009F2A26"/>
    <w:rsid w:val="009F6FF8"/>
    <w:rsid w:val="00A121BA"/>
    <w:rsid w:val="00A35E4A"/>
    <w:rsid w:val="00A36947"/>
    <w:rsid w:val="00A4273F"/>
    <w:rsid w:val="00A431A5"/>
    <w:rsid w:val="00A43F48"/>
    <w:rsid w:val="00A4483C"/>
    <w:rsid w:val="00A52976"/>
    <w:rsid w:val="00A7401D"/>
    <w:rsid w:val="00A8750E"/>
    <w:rsid w:val="00A93891"/>
    <w:rsid w:val="00AA1C8C"/>
    <w:rsid w:val="00AB0932"/>
    <w:rsid w:val="00AB2151"/>
    <w:rsid w:val="00AB3BB1"/>
    <w:rsid w:val="00AB6C4F"/>
    <w:rsid w:val="00AB7713"/>
    <w:rsid w:val="00AE1313"/>
    <w:rsid w:val="00AE5282"/>
    <w:rsid w:val="00AE5285"/>
    <w:rsid w:val="00AE6512"/>
    <w:rsid w:val="00AE7A9A"/>
    <w:rsid w:val="00AF2BAF"/>
    <w:rsid w:val="00B001FB"/>
    <w:rsid w:val="00B021C6"/>
    <w:rsid w:val="00B04E29"/>
    <w:rsid w:val="00B273EA"/>
    <w:rsid w:val="00B30D03"/>
    <w:rsid w:val="00B42985"/>
    <w:rsid w:val="00B652B7"/>
    <w:rsid w:val="00B75B30"/>
    <w:rsid w:val="00B7635C"/>
    <w:rsid w:val="00B76936"/>
    <w:rsid w:val="00B87333"/>
    <w:rsid w:val="00BB358D"/>
    <w:rsid w:val="00BC0072"/>
    <w:rsid w:val="00BC6333"/>
    <w:rsid w:val="00BD1C16"/>
    <w:rsid w:val="00BD699C"/>
    <w:rsid w:val="00BF5E23"/>
    <w:rsid w:val="00BF737B"/>
    <w:rsid w:val="00C031E3"/>
    <w:rsid w:val="00C04F99"/>
    <w:rsid w:val="00C10D47"/>
    <w:rsid w:val="00C20728"/>
    <w:rsid w:val="00C20751"/>
    <w:rsid w:val="00C2699C"/>
    <w:rsid w:val="00C36448"/>
    <w:rsid w:val="00C36B25"/>
    <w:rsid w:val="00C4437A"/>
    <w:rsid w:val="00C5176D"/>
    <w:rsid w:val="00C64435"/>
    <w:rsid w:val="00C66110"/>
    <w:rsid w:val="00C706E4"/>
    <w:rsid w:val="00C7559A"/>
    <w:rsid w:val="00C75ADD"/>
    <w:rsid w:val="00C8160D"/>
    <w:rsid w:val="00C84851"/>
    <w:rsid w:val="00C91BF9"/>
    <w:rsid w:val="00CA5350"/>
    <w:rsid w:val="00CA647B"/>
    <w:rsid w:val="00CB26EC"/>
    <w:rsid w:val="00CC0D3B"/>
    <w:rsid w:val="00CC7631"/>
    <w:rsid w:val="00CD7493"/>
    <w:rsid w:val="00CF4125"/>
    <w:rsid w:val="00D001CC"/>
    <w:rsid w:val="00D10C14"/>
    <w:rsid w:val="00D1319E"/>
    <w:rsid w:val="00D22378"/>
    <w:rsid w:val="00D22949"/>
    <w:rsid w:val="00D304D2"/>
    <w:rsid w:val="00D30697"/>
    <w:rsid w:val="00D36320"/>
    <w:rsid w:val="00D36D28"/>
    <w:rsid w:val="00D42AC5"/>
    <w:rsid w:val="00D51666"/>
    <w:rsid w:val="00D6079C"/>
    <w:rsid w:val="00D659A4"/>
    <w:rsid w:val="00D65C8C"/>
    <w:rsid w:val="00D6676D"/>
    <w:rsid w:val="00D67DCB"/>
    <w:rsid w:val="00D74E03"/>
    <w:rsid w:val="00D80083"/>
    <w:rsid w:val="00D8723B"/>
    <w:rsid w:val="00D91861"/>
    <w:rsid w:val="00D963F1"/>
    <w:rsid w:val="00D97DCA"/>
    <w:rsid w:val="00DB0E72"/>
    <w:rsid w:val="00DB3100"/>
    <w:rsid w:val="00DC030B"/>
    <w:rsid w:val="00DC1DB4"/>
    <w:rsid w:val="00DC518E"/>
    <w:rsid w:val="00DC71D9"/>
    <w:rsid w:val="00DD4AC1"/>
    <w:rsid w:val="00DE5FF7"/>
    <w:rsid w:val="00DE6FDF"/>
    <w:rsid w:val="00DE7F25"/>
    <w:rsid w:val="00E001E0"/>
    <w:rsid w:val="00E059AA"/>
    <w:rsid w:val="00E06383"/>
    <w:rsid w:val="00E163C0"/>
    <w:rsid w:val="00E23F3B"/>
    <w:rsid w:val="00E26429"/>
    <w:rsid w:val="00E30AF8"/>
    <w:rsid w:val="00E463BA"/>
    <w:rsid w:val="00E60B43"/>
    <w:rsid w:val="00E60F5F"/>
    <w:rsid w:val="00E63E66"/>
    <w:rsid w:val="00E64AE4"/>
    <w:rsid w:val="00E64BF5"/>
    <w:rsid w:val="00E661D7"/>
    <w:rsid w:val="00E667AC"/>
    <w:rsid w:val="00E70EB5"/>
    <w:rsid w:val="00E907AE"/>
    <w:rsid w:val="00E96C6B"/>
    <w:rsid w:val="00EA2526"/>
    <w:rsid w:val="00EB6305"/>
    <w:rsid w:val="00EC7DB5"/>
    <w:rsid w:val="00EE2890"/>
    <w:rsid w:val="00EE4352"/>
    <w:rsid w:val="00EE505E"/>
    <w:rsid w:val="00EE66B1"/>
    <w:rsid w:val="00EE786B"/>
    <w:rsid w:val="00EF3F0D"/>
    <w:rsid w:val="00F01A00"/>
    <w:rsid w:val="00F0382F"/>
    <w:rsid w:val="00F1290A"/>
    <w:rsid w:val="00F30D3A"/>
    <w:rsid w:val="00F30EBE"/>
    <w:rsid w:val="00F334B2"/>
    <w:rsid w:val="00F371CD"/>
    <w:rsid w:val="00F46521"/>
    <w:rsid w:val="00F53D58"/>
    <w:rsid w:val="00F61BD6"/>
    <w:rsid w:val="00F649C7"/>
    <w:rsid w:val="00F701CA"/>
    <w:rsid w:val="00F703C8"/>
    <w:rsid w:val="00F82DA4"/>
    <w:rsid w:val="00F9512C"/>
    <w:rsid w:val="00F95140"/>
    <w:rsid w:val="00F97C12"/>
    <w:rsid w:val="00FA3029"/>
    <w:rsid w:val="00FB1273"/>
    <w:rsid w:val="00FB6E8D"/>
    <w:rsid w:val="00FC50B2"/>
    <w:rsid w:val="00FD15D6"/>
    <w:rsid w:val="00FD46B7"/>
    <w:rsid w:val="00FE0AF2"/>
    <w:rsid w:val="00FF4BDB"/>
    <w:rsid w:val="00FF6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4626"/>
  <w15:chartTrackingRefBased/>
  <w15:docId w15:val="{A4DED4E8-4518-B948-9229-137FC1EC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2699C"/>
  </w:style>
  <w:style w:type="paragraph" w:styleId="ListParagraph">
    <w:name w:val="List Paragraph"/>
    <w:basedOn w:val="Normal"/>
    <w:uiPriority w:val="34"/>
    <w:qFormat/>
    <w:rsid w:val="00F30EBE"/>
    <w:pPr>
      <w:ind w:left="720"/>
      <w:contextualSpacing/>
    </w:pPr>
  </w:style>
  <w:style w:type="character" w:styleId="CommentReference">
    <w:name w:val="annotation reference"/>
    <w:basedOn w:val="DefaultParagraphFont"/>
    <w:uiPriority w:val="99"/>
    <w:semiHidden/>
    <w:unhideWhenUsed/>
    <w:rsid w:val="002B1270"/>
    <w:rPr>
      <w:sz w:val="16"/>
      <w:szCs w:val="16"/>
    </w:rPr>
  </w:style>
  <w:style w:type="paragraph" w:styleId="CommentText">
    <w:name w:val="annotation text"/>
    <w:basedOn w:val="Normal"/>
    <w:link w:val="CommentTextChar"/>
    <w:uiPriority w:val="99"/>
    <w:semiHidden/>
    <w:unhideWhenUsed/>
    <w:rsid w:val="002B1270"/>
    <w:rPr>
      <w:sz w:val="20"/>
      <w:szCs w:val="20"/>
    </w:rPr>
  </w:style>
  <w:style w:type="character" w:customStyle="1" w:styleId="CommentTextChar">
    <w:name w:val="Comment Text Char"/>
    <w:basedOn w:val="DefaultParagraphFont"/>
    <w:link w:val="CommentText"/>
    <w:uiPriority w:val="99"/>
    <w:semiHidden/>
    <w:rsid w:val="002B1270"/>
    <w:rPr>
      <w:sz w:val="20"/>
      <w:szCs w:val="20"/>
    </w:rPr>
  </w:style>
  <w:style w:type="paragraph" w:styleId="CommentSubject">
    <w:name w:val="annotation subject"/>
    <w:basedOn w:val="CommentText"/>
    <w:next w:val="CommentText"/>
    <w:link w:val="CommentSubjectChar"/>
    <w:uiPriority w:val="99"/>
    <w:semiHidden/>
    <w:unhideWhenUsed/>
    <w:rsid w:val="002B1270"/>
    <w:rPr>
      <w:b/>
      <w:bCs/>
    </w:rPr>
  </w:style>
  <w:style w:type="character" w:customStyle="1" w:styleId="CommentSubjectChar">
    <w:name w:val="Comment Subject Char"/>
    <w:basedOn w:val="CommentTextChar"/>
    <w:link w:val="CommentSubject"/>
    <w:uiPriority w:val="99"/>
    <w:semiHidden/>
    <w:rsid w:val="002B1270"/>
    <w:rPr>
      <w:b/>
      <w:bCs/>
      <w:sz w:val="20"/>
      <w:szCs w:val="20"/>
    </w:rPr>
  </w:style>
  <w:style w:type="paragraph" w:styleId="BalloonText">
    <w:name w:val="Balloon Text"/>
    <w:basedOn w:val="Normal"/>
    <w:link w:val="BalloonTextChar"/>
    <w:uiPriority w:val="99"/>
    <w:semiHidden/>
    <w:unhideWhenUsed/>
    <w:rsid w:val="00E70EB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0EB5"/>
    <w:rPr>
      <w:rFonts w:ascii="Times New Roman" w:hAnsi="Times New Roman" w:cs="Times New Roman"/>
      <w:sz w:val="18"/>
      <w:szCs w:val="18"/>
    </w:rPr>
  </w:style>
  <w:style w:type="character" w:styleId="Hyperlink">
    <w:name w:val="Hyperlink"/>
    <w:basedOn w:val="DefaultParagraphFont"/>
    <w:uiPriority w:val="99"/>
    <w:unhideWhenUsed/>
    <w:rsid w:val="00E60F5F"/>
    <w:rPr>
      <w:color w:val="0563C1" w:themeColor="hyperlink"/>
      <w:u w:val="single"/>
    </w:rPr>
  </w:style>
  <w:style w:type="character" w:styleId="UnresolvedMention">
    <w:name w:val="Unresolved Mention"/>
    <w:basedOn w:val="DefaultParagraphFont"/>
    <w:uiPriority w:val="99"/>
    <w:semiHidden/>
    <w:unhideWhenUsed/>
    <w:rsid w:val="00E60F5F"/>
    <w:rPr>
      <w:color w:val="605E5C"/>
      <w:shd w:val="clear" w:color="auto" w:fill="E1DFDD"/>
    </w:rPr>
  </w:style>
  <w:style w:type="paragraph" w:styleId="Caption">
    <w:name w:val="caption"/>
    <w:basedOn w:val="Normal"/>
    <w:next w:val="Normal"/>
    <w:uiPriority w:val="35"/>
    <w:unhideWhenUsed/>
    <w:qFormat/>
    <w:rsid w:val="004737D3"/>
    <w:pPr>
      <w:spacing w:after="200"/>
    </w:pPr>
    <w:rPr>
      <w:i/>
      <w:iCs/>
      <w:color w:val="44546A" w:themeColor="text2"/>
      <w:sz w:val="18"/>
      <w:szCs w:val="18"/>
    </w:rPr>
  </w:style>
  <w:style w:type="paragraph" w:customStyle="1" w:styleId="xmsonormal">
    <w:name w:val="x_msonormal"/>
    <w:basedOn w:val="Normal"/>
    <w:rsid w:val="00D22949"/>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6F222E"/>
    <w:rPr>
      <w:color w:val="954F72" w:themeColor="followedHyperlink"/>
      <w:u w:val="single"/>
    </w:rPr>
  </w:style>
  <w:style w:type="paragraph" w:styleId="Revision">
    <w:name w:val="Revision"/>
    <w:hidden/>
    <w:uiPriority w:val="99"/>
    <w:semiHidden/>
    <w:rsid w:val="004125F9"/>
  </w:style>
  <w:style w:type="paragraph" w:styleId="NormalWeb">
    <w:name w:val="Normal (Web)"/>
    <w:basedOn w:val="Normal"/>
    <w:uiPriority w:val="99"/>
    <w:semiHidden/>
    <w:unhideWhenUsed/>
    <w:rsid w:val="00F649C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62EF6"/>
    <w:rPr>
      <w:b/>
      <w:bCs/>
    </w:rPr>
  </w:style>
  <w:style w:type="character" w:styleId="PlaceholderText">
    <w:name w:val="Placeholder Text"/>
    <w:basedOn w:val="DefaultParagraphFont"/>
    <w:uiPriority w:val="99"/>
    <w:semiHidden/>
    <w:rsid w:val="00FC50B2"/>
    <w:rPr>
      <w:color w:val="808080"/>
    </w:rPr>
  </w:style>
  <w:style w:type="paragraph" w:styleId="Bibliography">
    <w:name w:val="Bibliography"/>
    <w:basedOn w:val="Normal"/>
    <w:next w:val="Normal"/>
    <w:uiPriority w:val="37"/>
    <w:unhideWhenUsed/>
    <w:rsid w:val="00AB3BB1"/>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66">
      <w:bodyDiv w:val="1"/>
      <w:marLeft w:val="0"/>
      <w:marRight w:val="0"/>
      <w:marTop w:val="0"/>
      <w:marBottom w:val="0"/>
      <w:divBdr>
        <w:top w:val="none" w:sz="0" w:space="0" w:color="auto"/>
        <w:left w:val="none" w:sz="0" w:space="0" w:color="auto"/>
        <w:bottom w:val="none" w:sz="0" w:space="0" w:color="auto"/>
        <w:right w:val="none" w:sz="0" w:space="0" w:color="auto"/>
      </w:divBdr>
      <w:divsChild>
        <w:div w:id="1672639899">
          <w:marLeft w:val="547"/>
          <w:marRight w:val="0"/>
          <w:marTop w:val="0"/>
          <w:marBottom w:val="0"/>
          <w:divBdr>
            <w:top w:val="none" w:sz="0" w:space="0" w:color="auto"/>
            <w:left w:val="none" w:sz="0" w:space="0" w:color="auto"/>
            <w:bottom w:val="none" w:sz="0" w:space="0" w:color="auto"/>
            <w:right w:val="none" w:sz="0" w:space="0" w:color="auto"/>
          </w:divBdr>
        </w:div>
        <w:div w:id="1409036948">
          <w:marLeft w:val="547"/>
          <w:marRight w:val="0"/>
          <w:marTop w:val="0"/>
          <w:marBottom w:val="0"/>
          <w:divBdr>
            <w:top w:val="none" w:sz="0" w:space="0" w:color="auto"/>
            <w:left w:val="none" w:sz="0" w:space="0" w:color="auto"/>
            <w:bottom w:val="none" w:sz="0" w:space="0" w:color="auto"/>
            <w:right w:val="none" w:sz="0" w:space="0" w:color="auto"/>
          </w:divBdr>
        </w:div>
      </w:divsChild>
    </w:div>
    <w:div w:id="225068010">
      <w:bodyDiv w:val="1"/>
      <w:marLeft w:val="0"/>
      <w:marRight w:val="0"/>
      <w:marTop w:val="0"/>
      <w:marBottom w:val="0"/>
      <w:divBdr>
        <w:top w:val="none" w:sz="0" w:space="0" w:color="auto"/>
        <w:left w:val="none" w:sz="0" w:space="0" w:color="auto"/>
        <w:bottom w:val="none" w:sz="0" w:space="0" w:color="auto"/>
        <w:right w:val="none" w:sz="0" w:space="0" w:color="auto"/>
      </w:divBdr>
    </w:div>
    <w:div w:id="311763503">
      <w:bodyDiv w:val="1"/>
      <w:marLeft w:val="0"/>
      <w:marRight w:val="0"/>
      <w:marTop w:val="0"/>
      <w:marBottom w:val="0"/>
      <w:divBdr>
        <w:top w:val="none" w:sz="0" w:space="0" w:color="auto"/>
        <w:left w:val="none" w:sz="0" w:space="0" w:color="auto"/>
        <w:bottom w:val="none" w:sz="0" w:space="0" w:color="auto"/>
        <w:right w:val="none" w:sz="0" w:space="0" w:color="auto"/>
      </w:divBdr>
    </w:div>
    <w:div w:id="353187973">
      <w:bodyDiv w:val="1"/>
      <w:marLeft w:val="0"/>
      <w:marRight w:val="0"/>
      <w:marTop w:val="0"/>
      <w:marBottom w:val="0"/>
      <w:divBdr>
        <w:top w:val="none" w:sz="0" w:space="0" w:color="auto"/>
        <w:left w:val="none" w:sz="0" w:space="0" w:color="auto"/>
        <w:bottom w:val="none" w:sz="0" w:space="0" w:color="auto"/>
        <w:right w:val="none" w:sz="0" w:space="0" w:color="auto"/>
      </w:divBdr>
    </w:div>
    <w:div w:id="442577961">
      <w:bodyDiv w:val="1"/>
      <w:marLeft w:val="0"/>
      <w:marRight w:val="0"/>
      <w:marTop w:val="0"/>
      <w:marBottom w:val="0"/>
      <w:divBdr>
        <w:top w:val="none" w:sz="0" w:space="0" w:color="auto"/>
        <w:left w:val="none" w:sz="0" w:space="0" w:color="auto"/>
        <w:bottom w:val="none" w:sz="0" w:space="0" w:color="auto"/>
        <w:right w:val="none" w:sz="0" w:space="0" w:color="auto"/>
      </w:divBdr>
      <w:divsChild>
        <w:div w:id="1391343991">
          <w:marLeft w:val="547"/>
          <w:marRight w:val="0"/>
          <w:marTop w:val="0"/>
          <w:marBottom w:val="0"/>
          <w:divBdr>
            <w:top w:val="none" w:sz="0" w:space="0" w:color="auto"/>
            <w:left w:val="none" w:sz="0" w:space="0" w:color="auto"/>
            <w:bottom w:val="none" w:sz="0" w:space="0" w:color="auto"/>
            <w:right w:val="none" w:sz="0" w:space="0" w:color="auto"/>
          </w:divBdr>
        </w:div>
        <w:div w:id="319041573">
          <w:marLeft w:val="547"/>
          <w:marRight w:val="0"/>
          <w:marTop w:val="0"/>
          <w:marBottom w:val="0"/>
          <w:divBdr>
            <w:top w:val="none" w:sz="0" w:space="0" w:color="auto"/>
            <w:left w:val="none" w:sz="0" w:space="0" w:color="auto"/>
            <w:bottom w:val="none" w:sz="0" w:space="0" w:color="auto"/>
            <w:right w:val="none" w:sz="0" w:space="0" w:color="auto"/>
          </w:divBdr>
        </w:div>
      </w:divsChild>
    </w:div>
    <w:div w:id="454956152">
      <w:bodyDiv w:val="1"/>
      <w:marLeft w:val="0"/>
      <w:marRight w:val="0"/>
      <w:marTop w:val="0"/>
      <w:marBottom w:val="0"/>
      <w:divBdr>
        <w:top w:val="none" w:sz="0" w:space="0" w:color="auto"/>
        <w:left w:val="none" w:sz="0" w:space="0" w:color="auto"/>
        <w:bottom w:val="none" w:sz="0" w:space="0" w:color="auto"/>
        <w:right w:val="none" w:sz="0" w:space="0" w:color="auto"/>
      </w:divBdr>
    </w:div>
    <w:div w:id="633293226">
      <w:bodyDiv w:val="1"/>
      <w:marLeft w:val="0"/>
      <w:marRight w:val="0"/>
      <w:marTop w:val="0"/>
      <w:marBottom w:val="0"/>
      <w:divBdr>
        <w:top w:val="none" w:sz="0" w:space="0" w:color="auto"/>
        <w:left w:val="none" w:sz="0" w:space="0" w:color="auto"/>
        <w:bottom w:val="none" w:sz="0" w:space="0" w:color="auto"/>
        <w:right w:val="none" w:sz="0" w:space="0" w:color="auto"/>
      </w:divBdr>
    </w:div>
    <w:div w:id="693388960">
      <w:bodyDiv w:val="1"/>
      <w:marLeft w:val="0"/>
      <w:marRight w:val="0"/>
      <w:marTop w:val="0"/>
      <w:marBottom w:val="0"/>
      <w:divBdr>
        <w:top w:val="none" w:sz="0" w:space="0" w:color="auto"/>
        <w:left w:val="none" w:sz="0" w:space="0" w:color="auto"/>
        <w:bottom w:val="none" w:sz="0" w:space="0" w:color="auto"/>
        <w:right w:val="none" w:sz="0" w:space="0" w:color="auto"/>
      </w:divBdr>
    </w:div>
    <w:div w:id="724257032">
      <w:bodyDiv w:val="1"/>
      <w:marLeft w:val="0"/>
      <w:marRight w:val="0"/>
      <w:marTop w:val="0"/>
      <w:marBottom w:val="0"/>
      <w:divBdr>
        <w:top w:val="none" w:sz="0" w:space="0" w:color="auto"/>
        <w:left w:val="none" w:sz="0" w:space="0" w:color="auto"/>
        <w:bottom w:val="none" w:sz="0" w:space="0" w:color="auto"/>
        <w:right w:val="none" w:sz="0" w:space="0" w:color="auto"/>
      </w:divBdr>
    </w:div>
    <w:div w:id="753669305">
      <w:bodyDiv w:val="1"/>
      <w:marLeft w:val="0"/>
      <w:marRight w:val="0"/>
      <w:marTop w:val="0"/>
      <w:marBottom w:val="0"/>
      <w:divBdr>
        <w:top w:val="none" w:sz="0" w:space="0" w:color="auto"/>
        <w:left w:val="none" w:sz="0" w:space="0" w:color="auto"/>
        <w:bottom w:val="none" w:sz="0" w:space="0" w:color="auto"/>
        <w:right w:val="none" w:sz="0" w:space="0" w:color="auto"/>
      </w:divBdr>
    </w:div>
    <w:div w:id="821118809">
      <w:bodyDiv w:val="1"/>
      <w:marLeft w:val="0"/>
      <w:marRight w:val="0"/>
      <w:marTop w:val="0"/>
      <w:marBottom w:val="0"/>
      <w:divBdr>
        <w:top w:val="none" w:sz="0" w:space="0" w:color="auto"/>
        <w:left w:val="none" w:sz="0" w:space="0" w:color="auto"/>
        <w:bottom w:val="none" w:sz="0" w:space="0" w:color="auto"/>
        <w:right w:val="none" w:sz="0" w:space="0" w:color="auto"/>
      </w:divBdr>
    </w:div>
    <w:div w:id="883295858">
      <w:bodyDiv w:val="1"/>
      <w:marLeft w:val="0"/>
      <w:marRight w:val="0"/>
      <w:marTop w:val="0"/>
      <w:marBottom w:val="0"/>
      <w:divBdr>
        <w:top w:val="none" w:sz="0" w:space="0" w:color="auto"/>
        <w:left w:val="none" w:sz="0" w:space="0" w:color="auto"/>
        <w:bottom w:val="none" w:sz="0" w:space="0" w:color="auto"/>
        <w:right w:val="none" w:sz="0" w:space="0" w:color="auto"/>
      </w:divBdr>
    </w:div>
    <w:div w:id="1103768781">
      <w:bodyDiv w:val="1"/>
      <w:marLeft w:val="0"/>
      <w:marRight w:val="0"/>
      <w:marTop w:val="0"/>
      <w:marBottom w:val="0"/>
      <w:divBdr>
        <w:top w:val="none" w:sz="0" w:space="0" w:color="auto"/>
        <w:left w:val="none" w:sz="0" w:space="0" w:color="auto"/>
        <w:bottom w:val="none" w:sz="0" w:space="0" w:color="auto"/>
        <w:right w:val="none" w:sz="0" w:space="0" w:color="auto"/>
      </w:divBdr>
    </w:div>
    <w:div w:id="1188641790">
      <w:bodyDiv w:val="1"/>
      <w:marLeft w:val="0"/>
      <w:marRight w:val="0"/>
      <w:marTop w:val="0"/>
      <w:marBottom w:val="0"/>
      <w:divBdr>
        <w:top w:val="none" w:sz="0" w:space="0" w:color="auto"/>
        <w:left w:val="none" w:sz="0" w:space="0" w:color="auto"/>
        <w:bottom w:val="none" w:sz="0" w:space="0" w:color="auto"/>
        <w:right w:val="none" w:sz="0" w:space="0" w:color="auto"/>
      </w:divBdr>
    </w:div>
    <w:div w:id="1216047337">
      <w:bodyDiv w:val="1"/>
      <w:marLeft w:val="0"/>
      <w:marRight w:val="0"/>
      <w:marTop w:val="0"/>
      <w:marBottom w:val="0"/>
      <w:divBdr>
        <w:top w:val="none" w:sz="0" w:space="0" w:color="auto"/>
        <w:left w:val="none" w:sz="0" w:space="0" w:color="auto"/>
        <w:bottom w:val="none" w:sz="0" w:space="0" w:color="auto"/>
        <w:right w:val="none" w:sz="0" w:space="0" w:color="auto"/>
      </w:divBdr>
    </w:div>
    <w:div w:id="1435858748">
      <w:bodyDiv w:val="1"/>
      <w:marLeft w:val="0"/>
      <w:marRight w:val="0"/>
      <w:marTop w:val="0"/>
      <w:marBottom w:val="0"/>
      <w:divBdr>
        <w:top w:val="none" w:sz="0" w:space="0" w:color="auto"/>
        <w:left w:val="none" w:sz="0" w:space="0" w:color="auto"/>
        <w:bottom w:val="none" w:sz="0" w:space="0" w:color="auto"/>
        <w:right w:val="none" w:sz="0" w:space="0" w:color="auto"/>
      </w:divBdr>
    </w:div>
    <w:div w:id="1450705217">
      <w:bodyDiv w:val="1"/>
      <w:marLeft w:val="0"/>
      <w:marRight w:val="0"/>
      <w:marTop w:val="0"/>
      <w:marBottom w:val="0"/>
      <w:divBdr>
        <w:top w:val="none" w:sz="0" w:space="0" w:color="auto"/>
        <w:left w:val="none" w:sz="0" w:space="0" w:color="auto"/>
        <w:bottom w:val="none" w:sz="0" w:space="0" w:color="auto"/>
        <w:right w:val="none" w:sz="0" w:space="0" w:color="auto"/>
      </w:divBdr>
    </w:div>
    <w:div w:id="1460147457">
      <w:bodyDiv w:val="1"/>
      <w:marLeft w:val="0"/>
      <w:marRight w:val="0"/>
      <w:marTop w:val="0"/>
      <w:marBottom w:val="0"/>
      <w:divBdr>
        <w:top w:val="none" w:sz="0" w:space="0" w:color="auto"/>
        <w:left w:val="none" w:sz="0" w:space="0" w:color="auto"/>
        <w:bottom w:val="none" w:sz="0" w:space="0" w:color="auto"/>
        <w:right w:val="none" w:sz="0" w:space="0" w:color="auto"/>
      </w:divBdr>
    </w:div>
    <w:div w:id="1622762335">
      <w:bodyDiv w:val="1"/>
      <w:marLeft w:val="0"/>
      <w:marRight w:val="0"/>
      <w:marTop w:val="0"/>
      <w:marBottom w:val="0"/>
      <w:divBdr>
        <w:top w:val="none" w:sz="0" w:space="0" w:color="auto"/>
        <w:left w:val="none" w:sz="0" w:space="0" w:color="auto"/>
        <w:bottom w:val="none" w:sz="0" w:space="0" w:color="auto"/>
        <w:right w:val="none" w:sz="0" w:space="0" w:color="auto"/>
      </w:divBdr>
    </w:div>
    <w:div w:id="1763909481">
      <w:bodyDiv w:val="1"/>
      <w:marLeft w:val="0"/>
      <w:marRight w:val="0"/>
      <w:marTop w:val="0"/>
      <w:marBottom w:val="0"/>
      <w:divBdr>
        <w:top w:val="none" w:sz="0" w:space="0" w:color="auto"/>
        <w:left w:val="none" w:sz="0" w:space="0" w:color="auto"/>
        <w:bottom w:val="none" w:sz="0" w:space="0" w:color="auto"/>
        <w:right w:val="none" w:sz="0" w:space="0" w:color="auto"/>
      </w:divBdr>
    </w:div>
    <w:div w:id="1815442924">
      <w:bodyDiv w:val="1"/>
      <w:marLeft w:val="0"/>
      <w:marRight w:val="0"/>
      <w:marTop w:val="0"/>
      <w:marBottom w:val="0"/>
      <w:divBdr>
        <w:top w:val="none" w:sz="0" w:space="0" w:color="auto"/>
        <w:left w:val="none" w:sz="0" w:space="0" w:color="auto"/>
        <w:bottom w:val="none" w:sz="0" w:space="0" w:color="auto"/>
        <w:right w:val="none" w:sz="0" w:space="0" w:color="auto"/>
      </w:divBdr>
    </w:div>
    <w:div w:id="1912079421">
      <w:bodyDiv w:val="1"/>
      <w:marLeft w:val="0"/>
      <w:marRight w:val="0"/>
      <w:marTop w:val="0"/>
      <w:marBottom w:val="0"/>
      <w:divBdr>
        <w:top w:val="none" w:sz="0" w:space="0" w:color="auto"/>
        <w:left w:val="none" w:sz="0" w:space="0" w:color="auto"/>
        <w:bottom w:val="none" w:sz="0" w:space="0" w:color="auto"/>
        <w:right w:val="none" w:sz="0" w:space="0" w:color="auto"/>
      </w:divBdr>
    </w:div>
    <w:div w:id="1977299454">
      <w:bodyDiv w:val="1"/>
      <w:marLeft w:val="0"/>
      <w:marRight w:val="0"/>
      <w:marTop w:val="0"/>
      <w:marBottom w:val="0"/>
      <w:divBdr>
        <w:top w:val="none" w:sz="0" w:space="0" w:color="auto"/>
        <w:left w:val="none" w:sz="0" w:space="0" w:color="auto"/>
        <w:bottom w:val="none" w:sz="0" w:space="0" w:color="auto"/>
        <w:right w:val="none" w:sz="0" w:space="0" w:color="auto"/>
      </w:divBdr>
    </w:div>
    <w:div w:id="2016415583">
      <w:bodyDiv w:val="1"/>
      <w:marLeft w:val="0"/>
      <w:marRight w:val="0"/>
      <w:marTop w:val="0"/>
      <w:marBottom w:val="0"/>
      <w:divBdr>
        <w:top w:val="none" w:sz="0" w:space="0" w:color="auto"/>
        <w:left w:val="none" w:sz="0" w:space="0" w:color="auto"/>
        <w:bottom w:val="none" w:sz="0" w:space="0" w:color="auto"/>
        <w:right w:val="none" w:sz="0" w:space="0" w:color="auto"/>
      </w:divBdr>
    </w:div>
    <w:div w:id="2025085751">
      <w:bodyDiv w:val="1"/>
      <w:marLeft w:val="0"/>
      <w:marRight w:val="0"/>
      <w:marTop w:val="0"/>
      <w:marBottom w:val="0"/>
      <w:divBdr>
        <w:top w:val="none" w:sz="0" w:space="0" w:color="auto"/>
        <w:left w:val="none" w:sz="0" w:space="0" w:color="auto"/>
        <w:bottom w:val="none" w:sz="0" w:space="0" w:color="auto"/>
        <w:right w:val="none" w:sz="0" w:space="0" w:color="auto"/>
      </w:divBdr>
    </w:div>
    <w:div w:id="211825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33"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32"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EEA06-F261-1E4A-A609-19413F551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Pages>
  <Words>10557</Words>
  <Characters>60175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Paige Solomon</dc:creator>
  <cp:keywords/>
  <dc:description/>
  <cp:lastModifiedBy>Leung, Kevin</cp:lastModifiedBy>
  <cp:revision>4</cp:revision>
  <cp:lastPrinted>2021-09-05T22:49:00Z</cp:lastPrinted>
  <dcterms:created xsi:type="dcterms:W3CDTF">2023-05-24T17:26:00Z</dcterms:created>
  <dcterms:modified xsi:type="dcterms:W3CDTF">2023-05-24T17:44:00Z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http://www.zotero.org/styles/cell</vt:lpwstr>
  </property>
  <property fmtid="{D5CDD505-2E9C-101B-9397-08002B2CF9AE}" pid="7" name="Mendeley Recent Style Name 2_1">
    <vt:lpwstr>Cell</vt:lpwstr>
  </property>
  <property fmtid="{D5CDD505-2E9C-101B-9397-08002B2CF9AE}" pid="8" name="Mendeley Recent Style Id 3_1">
    <vt:lpwstr>http://www.zotero.org/styles/national-institute-of-health-research</vt:lpwstr>
  </property>
  <property fmtid="{D5CDD505-2E9C-101B-9397-08002B2CF9AE}" pid="9" name="Mendeley Recent Style Name 3_1">
    <vt:lpwstr>National Institute of Health Research</vt:lpwstr>
  </property>
  <property fmtid="{D5CDD505-2E9C-101B-9397-08002B2CF9AE}" pid="10" name="Mendeley Recent Style Id 4_1">
    <vt:lpwstr>http://www.zotero.org/styles/national-library-of-medicine-brackets-no-et-al</vt:lpwstr>
  </property>
  <property fmtid="{D5CDD505-2E9C-101B-9397-08002B2CF9AE}" pid="11" name="Mendeley Recent Style Name 4_1">
    <vt:lpwstr>National Library of Medicine (brackets, no "et al.")</vt:lpwstr>
  </property>
  <property fmtid="{D5CDD505-2E9C-101B-9397-08002B2CF9AE}" pid="12" name="Mendeley Recent Style Id 5_1">
    <vt:lpwstr>http://www.zotero.org/styles/national-library-of-medicine-grant-proposals</vt:lpwstr>
  </property>
  <property fmtid="{D5CDD505-2E9C-101B-9397-08002B2CF9AE}" pid="13" name="Mendeley Recent Style Name 5_1">
    <vt:lpwstr>National Library of Medicine (grant proposals with PMCID/PMID)</vt:lpwstr>
  </property>
  <property fmtid="{D5CDD505-2E9C-101B-9397-08002B2CF9AE}" pid="14" name="Mendeley Recent Style Id 6_1">
    <vt:lpwstr>https://csl.mendeley.com/styles/86112/national-library-of-medicine-grant-proposals</vt:lpwstr>
  </property>
  <property fmtid="{D5CDD505-2E9C-101B-9397-08002B2CF9AE}" pid="15" name="Mendeley Recent Style Name 6_1">
    <vt:lpwstr>National Library of Medicine (grant proposals with PMCID/PMID) - Kevin Leung</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http://www.zotero.org/styles/journal-of-biological-chemistry</vt:lpwstr>
  </property>
  <property fmtid="{D5CDD505-2E9C-101B-9397-08002B2CF9AE}" pid="21" name="Mendeley Recent Style Name 9_1">
    <vt:lpwstr>The Journal of Biological Chemistry</vt:lpwstr>
  </property>
  <property fmtid="{D5CDD505-2E9C-101B-9397-08002B2CF9AE}" pid="22" name="Mendeley Document_1">
    <vt:lpwstr>True</vt:lpwstr>
  </property>
  <property fmtid="{D5CDD505-2E9C-101B-9397-08002B2CF9AE}" pid="23" name="Mendeley Unique User Id_1">
    <vt:lpwstr>d1ba6316-921e-3386-a6a4-5c8b039cdc42</vt:lpwstr>
  </property>
  <property fmtid="{D5CDD505-2E9C-101B-9397-08002B2CF9AE}" pid="24" name="Mendeley Citation Style_1">
    <vt:lpwstr>https://csl.mendeley.com/styles/86112/national-library-of-medicine-grant-proposals</vt:lpwstr>
  </property>
  <property fmtid="{D5CDD505-2E9C-101B-9397-08002B2CF9AE}" pid="25" name="ZOTERO_PREF_1">
    <vt:lpwstr>&lt;data data-version="3" zotero-version="6.0.18"&gt;&lt;session id="peimv2KQ"/&gt;&lt;style id="http://www.zotero.org/styles/ieee" locale="en-US" hasBibliography="1" bibliographyStyleHasBeenSet="1"/&gt;&lt;prefs&gt;&lt;pref name="fieldType" value="Field"/&gt;&lt;pref name="automaticJour</vt:lpwstr>
  </property>
  <property fmtid="{D5CDD505-2E9C-101B-9397-08002B2CF9AE}" pid="26" name="ZOTERO_PREF_2">
    <vt:lpwstr>nalAbbreviations" value="true"/&gt;&lt;/prefs&gt;&lt;/data&gt;</vt:lpwstr>
  </property>
</Properties>
</file>