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60"/>
        </w:rPr>
        <w:t>PS DEALS</w:t>
      </w:r>
    </w:p>
    <w:p>
      <w:pPr>
        <w:jc w:val="center"/>
      </w:pPr>
      <w:r>
        <w:rPr>
          <w:b/>
          <w:sz w:val="42"/>
        </w:rPr>
        <w:t>Blueprint de Arquitectura v4.0</w:t>
      </w:r>
    </w:p>
    <w:p>
      <w:pPr>
        <w:jc w:val="center"/>
      </w:pPr>
      <w:r>
        <w:rPr>
          <w:i/>
        </w:rPr>
        <w:t>Transición de aplicación local basada en localStorage a una plataforma con SQLite y capa de servicios.</w:t>
      </w:r>
    </w:p>
    <w:p>
      <w:pPr>
        <w:pStyle w:val="Subtitle"/>
        <w:jc w:val="center"/>
      </w:pPr>
      <w:r>
        <w:t>Base estable de referencia: PS Deals v3.9.1 LTS</w:t>
        <w:br/>
        <w:t>Fecha del documento: 21 de julio de 2026</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2563EB"/>
          </w:tcPr>
          <w:p>
            <w:r/>
            <w:r>
              <w:rPr>
                <w:b/>
                <w:color w:val="FFFFFF"/>
                <w:sz w:val="20"/>
              </w:rPr>
              <w:t>Estado actual</w:t>
            </w:r>
          </w:p>
        </w:tc>
        <w:tc>
          <w:tcPr>
            <w:tcW w:type="dxa" w:w="5112"/>
            <w:vAlign w:val="center"/>
          </w:tcPr>
          <w:p>
            <w:r/>
            <w:r>
              <w:rPr>
                <w:b w:val="0"/>
                <w:sz w:val="20"/>
              </w:rPr>
              <w:t>Aplicación web local, modular y funcional</w:t>
            </w:r>
          </w:p>
        </w:tc>
      </w:tr>
      <w:tr>
        <w:tc>
          <w:tcPr>
            <w:tcW w:type="dxa" w:w="5112"/>
            <w:vAlign w:val="center"/>
            <w:shd w:fill="2563EB"/>
          </w:tcPr>
          <w:p>
            <w:r/>
            <w:r>
              <w:rPr>
                <w:b/>
                <w:color w:val="FFFFFF"/>
                <w:sz w:val="20"/>
              </w:rPr>
              <w:t>Objetivo v4.0</w:t>
            </w:r>
          </w:p>
        </w:tc>
        <w:tc>
          <w:tcPr>
            <w:tcW w:type="dxa" w:w="5112"/>
            <w:vAlign w:val="center"/>
          </w:tcPr>
          <w:p>
            <w:r/>
            <w:r>
              <w:rPr>
                <w:b w:val="0"/>
                <w:sz w:val="20"/>
              </w:rPr>
              <w:t>Persistencia SQLite sin perder datos ni funciones</w:t>
            </w:r>
          </w:p>
        </w:tc>
      </w:tr>
      <w:tr>
        <w:tc>
          <w:tcPr>
            <w:tcW w:type="dxa" w:w="5112"/>
            <w:vAlign w:val="center"/>
            <w:shd w:fill="2563EB"/>
          </w:tcPr>
          <w:p>
            <w:r/>
            <w:r>
              <w:rPr>
                <w:b/>
                <w:color w:val="FFFFFF"/>
                <w:sz w:val="20"/>
              </w:rPr>
              <w:t>Objetivo v5.0</w:t>
            </w:r>
          </w:p>
        </w:tc>
        <w:tc>
          <w:tcPr>
            <w:tcW w:type="dxa" w:w="5112"/>
            <w:vAlign w:val="center"/>
          </w:tcPr>
          <w:p>
            <w:r/>
            <w:r>
              <w:rPr>
                <w:b w:val="0"/>
                <w:sz w:val="20"/>
              </w:rPr>
              <w:t>Multiusuario en red mediante API y base compartida</w:t>
            </w:r>
          </w:p>
        </w:tc>
      </w:tr>
      <w:tr>
        <w:tc>
          <w:tcPr>
            <w:tcW w:type="dxa" w:w="5112"/>
            <w:vAlign w:val="center"/>
            <w:shd w:fill="2563EB"/>
          </w:tcPr>
          <w:p>
            <w:r/>
            <w:r>
              <w:rPr>
                <w:b/>
                <w:color w:val="FFFFFF"/>
                <w:sz w:val="20"/>
              </w:rPr>
              <w:t>Principio rector</w:t>
            </w:r>
          </w:p>
        </w:tc>
        <w:tc>
          <w:tcPr>
            <w:tcW w:type="dxa" w:w="5112"/>
            <w:vAlign w:val="center"/>
          </w:tcPr>
          <w:p>
            <w:r/>
            <w:r>
              <w:rPr>
                <w:b w:val="0"/>
                <w:sz w:val="20"/>
              </w:rPr>
              <w:t>Migración verificable, reversible y con respaldo</w:t>
            </w:r>
          </w:p>
        </w:tc>
      </w:tr>
    </w:tbl>
    <w:p>
      <w:r>
        <w:br w:type="page"/>
      </w:r>
    </w:p>
    <w:p>
      <w:pPr>
        <w:pStyle w:val="Heading1"/>
      </w:pPr>
      <w:r>
        <w:t>1. Resumen ejecutivo</w:t>
      </w:r>
    </w:p>
    <w:p>
      <w:r>
        <w:t>PS Deals v3.9.1 ya contiene POS, inventario, clientes, compras, gastos, apartados, devoluciones, cuentas por cobrar, reportes, usuarios, notificaciones, actividad, diagnóstico, tickets, escáner, favoritos e importación/exportación. La prioridad de v4.0 no es agregar más pantallas: es reemplazar la persistencia del navegador por una base de datos transaccional y auditable.</w:t>
      </w:r>
    </w:p>
    <w:p>
      <w:r>
        <w:t>Decisión técnica recomendada: conservar la interfaz HTML/CSS/JavaScript y agregar un servicio local Node.js con Express y SQLite. El navegador no debe abrir directamente el archivo SQLite. Todas las lecturas y escrituras pasarán por una API local. Esto permite mantener la interfaz actual y prepara la migración posterior a PostgreSQL para trabajo en red.</w:t>
      </w:r>
    </w:p>
    <w:p>
      <w:pPr>
        <w:pStyle w:val="Heading1"/>
      </w:pPr>
      <w:r>
        <w:t>2. Alcance y no alcance</w:t>
      </w:r>
    </w:p>
    <w:p>
      <w:pPr>
        <w:pStyle w:val="Heading2"/>
      </w:pPr>
      <w:r>
        <w:t>Incluido en v4.0</w:t>
      </w:r>
    </w:p>
    <w:p>
      <w:pPr>
        <w:pStyle w:val="ListBullet"/>
      </w:pPr>
      <w:r>
        <w:t>Base SQLite y migraciones versionadas</w:t>
      </w:r>
    </w:p>
    <w:p>
      <w:pPr>
        <w:pStyle w:val="ListBullet"/>
      </w:pPr>
      <w:r>
        <w:t>API local para productos, clientes, ventas, compras, gastos y usuarios</w:t>
      </w:r>
    </w:p>
    <w:p>
      <w:pPr>
        <w:pStyle w:val="ListBullet"/>
      </w:pPr>
      <w:r>
        <w:t>Asistente de migración desde respaldo JSON/localStorage</w:t>
      </w:r>
    </w:p>
    <w:p>
      <w:pPr>
        <w:pStyle w:val="ListBullet"/>
      </w:pPr>
      <w:r>
        <w:t>Validación de conteos, totales e inventario</w:t>
      </w:r>
    </w:p>
    <w:p>
      <w:pPr>
        <w:pStyle w:val="ListBullet"/>
      </w:pPr>
      <w:r>
        <w:t>Respaldo y restauración del archivo de base de datos</w:t>
      </w:r>
    </w:p>
    <w:p>
      <w:pPr>
        <w:pStyle w:val="ListBullet"/>
      </w:pPr>
      <w:r>
        <w:t>Modo compatibilidad temporal para revertir</w:t>
      </w:r>
    </w:p>
    <w:p>
      <w:pPr>
        <w:pStyle w:val="Heading2"/>
      </w:pPr>
      <w:r>
        <w:t>Fuera de v4.0</w:t>
      </w:r>
    </w:p>
    <w:p>
      <w:pPr>
        <w:pStyle w:val="ListBullet"/>
      </w:pPr>
      <w:r>
        <w:t>Facturación electrónica SAT</w:t>
      </w:r>
    </w:p>
    <w:p>
      <w:pPr>
        <w:pStyle w:val="ListBullet"/>
      </w:pPr>
      <w:r>
        <w:t>Sincronización en nube</w:t>
      </w:r>
    </w:p>
    <w:p>
      <w:pPr>
        <w:pStyle w:val="ListBullet"/>
      </w:pPr>
      <w:r>
        <w:t>Multiusuario concurrente por Internet</w:t>
      </w:r>
    </w:p>
    <w:p>
      <w:pPr>
        <w:pStyle w:val="ListBullet"/>
      </w:pPr>
      <w:r>
        <w:t>Aplicación móvil nativa</w:t>
      </w:r>
    </w:p>
    <w:p>
      <w:pPr>
        <w:pStyle w:val="ListBullet"/>
      </w:pPr>
      <w:r>
        <w:t>Cambio total de interfaz</w:t>
      </w:r>
    </w:p>
    <w:p>
      <w:pPr>
        <w:pStyle w:val="Heading1"/>
      </w:pPr>
      <w:r>
        <w:t>3. Arquitectura objetivo</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E3A8A"/>
          </w:tcPr>
          <w:p>
            <w:r/>
            <w:r>
              <w:rPr>
                <w:b/>
                <w:color w:val="FFFFFF"/>
                <w:sz w:val="20"/>
              </w:rPr>
              <w:t>Capa</w:t>
            </w:r>
          </w:p>
        </w:tc>
        <w:tc>
          <w:tcPr>
            <w:tcW w:type="dxa" w:w="5112"/>
            <w:vAlign w:val="center"/>
            <w:shd w:fill="1E3A8A"/>
          </w:tcPr>
          <w:p>
            <w:r/>
            <w:r>
              <w:rPr>
                <w:b/>
                <w:color w:val="FFFFFF"/>
                <w:sz w:val="20"/>
              </w:rPr>
              <w:t>Responsabilidad</w:t>
            </w:r>
          </w:p>
        </w:tc>
      </w:tr>
      <w:tr>
        <w:tc>
          <w:tcPr>
            <w:tcW w:type="dxa" w:w="5112"/>
            <w:vAlign w:val="center"/>
          </w:tcPr>
          <w:p>
            <w:r/>
            <w:r>
              <w:rPr>
                <w:b/>
                <w:sz w:val="18"/>
              </w:rPr>
              <w:t>Presentación</w:t>
            </w:r>
          </w:p>
        </w:tc>
        <w:tc>
          <w:tcPr>
            <w:tcW w:type="dxa" w:w="5112"/>
            <w:vAlign w:val="center"/>
          </w:tcPr>
          <w:p>
            <w:r/>
            <w:r>
              <w:rPr>
                <w:b w:val="0"/>
                <w:sz w:val="18"/>
              </w:rPr>
              <w:t>HTML, CSS, Bootstrap y JavaScript existentes. No accede directamente a SQLite.</w:t>
            </w:r>
          </w:p>
        </w:tc>
      </w:tr>
      <w:tr>
        <w:tc>
          <w:tcPr>
            <w:tcW w:type="dxa" w:w="5112"/>
            <w:vAlign w:val="center"/>
          </w:tcPr>
          <w:p>
            <w:r/>
            <w:r>
              <w:rPr>
                <w:b/>
                <w:sz w:val="18"/>
              </w:rPr>
              <w:t>Cliente de datos</w:t>
            </w:r>
          </w:p>
        </w:tc>
        <w:tc>
          <w:tcPr>
            <w:tcW w:type="dxa" w:w="5112"/>
            <w:vAlign w:val="center"/>
          </w:tcPr>
          <w:p>
            <w:r/>
            <w:r>
              <w:rPr>
                <w:b w:val="0"/>
                <w:sz w:val="18"/>
              </w:rPr>
              <w:t>Módulo js/api-client.js. Sustituye llamadas directas a localStorage por solicitudes HTTP.</w:t>
            </w:r>
          </w:p>
        </w:tc>
      </w:tr>
      <w:tr>
        <w:tc>
          <w:tcPr>
            <w:tcW w:type="dxa" w:w="5112"/>
            <w:vAlign w:val="center"/>
          </w:tcPr>
          <w:p>
            <w:r/>
            <w:r>
              <w:rPr>
                <w:b/>
                <w:sz w:val="18"/>
              </w:rPr>
              <w:t>API local</w:t>
            </w:r>
          </w:p>
        </w:tc>
        <w:tc>
          <w:tcPr>
            <w:tcW w:type="dxa" w:w="5112"/>
            <w:vAlign w:val="center"/>
          </w:tcPr>
          <w:p>
            <w:r/>
            <w:r>
              <w:rPr>
                <w:b w:val="0"/>
                <w:sz w:val="18"/>
              </w:rPr>
              <w:t>Node.js + Express. Valida datos, aplica permisos y ejecuta transacciones.</w:t>
            </w:r>
          </w:p>
        </w:tc>
      </w:tr>
      <w:tr>
        <w:tc>
          <w:tcPr>
            <w:tcW w:type="dxa" w:w="5112"/>
            <w:vAlign w:val="center"/>
          </w:tcPr>
          <w:p>
            <w:r/>
            <w:r>
              <w:rPr>
                <w:b/>
                <w:sz w:val="18"/>
              </w:rPr>
              <w:t>Dominio/servicios</w:t>
            </w:r>
          </w:p>
        </w:tc>
        <w:tc>
          <w:tcPr>
            <w:tcW w:type="dxa" w:w="5112"/>
            <w:vAlign w:val="center"/>
          </w:tcPr>
          <w:p>
            <w:r/>
            <w:r>
              <w:rPr>
                <w:b w:val="0"/>
                <w:sz w:val="18"/>
              </w:rPr>
              <w:t>Reglas de ventas, inventario, cuentas por cobrar, apartados, devoluciones y auditoría.</w:t>
            </w:r>
          </w:p>
        </w:tc>
      </w:tr>
      <w:tr>
        <w:tc>
          <w:tcPr>
            <w:tcW w:type="dxa" w:w="5112"/>
            <w:vAlign w:val="center"/>
          </w:tcPr>
          <w:p>
            <w:r/>
            <w:r>
              <w:rPr>
                <w:b/>
                <w:sz w:val="18"/>
              </w:rPr>
              <w:t>Persistencia</w:t>
            </w:r>
          </w:p>
        </w:tc>
        <w:tc>
          <w:tcPr>
            <w:tcW w:type="dxa" w:w="5112"/>
            <w:vAlign w:val="center"/>
          </w:tcPr>
          <w:p>
            <w:r/>
            <w:r>
              <w:rPr>
                <w:b w:val="0"/>
                <w:sz w:val="18"/>
              </w:rPr>
              <w:t>SQLite con claves foráneas, índices, restricciones y migraciones.</w:t>
            </w:r>
          </w:p>
        </w:tc>
      </w:tr>
      <w:tr>
        <w:tc>
          <w:tcPr>
            <w:tcW w:type="dxa" w:w="5112"/>
            <w:vAlign w:val="center"/>
          </w:tcPr>
          <w:p>
            <w:r/>
            <w:r>
              <w:rPr>
                <w:b/>
                <w:sz w:val="18"/>
              </w:rPr>
              <w:t>Respaldo</w:t>
            </w:r>
          </w:p>
        </w:tc>
        <w:tc>
          <w:tcPr>
            <w:tcW w:type="dxa" w:w="5112"/>
            <w:vAlign w:val="center"/>
          </w:tcPr>
          <w:p>
            <w:r/>
            <w:r>
              <w:rPr>
                <w:b w:val="0"/>
                <w:sz w:val="18"/>
              </w:rPr>
              <w:t>Copias consistentes de psdeals.db, exportación JSON y registro de restauraciones.</w:t>
            </w:r>
          </w:p>
        </w:tc>
      </w:tr>
    </w:tbl>
    <w:p>
      <w:pPr>
        <w:pStyle w:val="Heading1"/>
      </w:pPr>
      <w:r>
        <w:t>4. Estructura de carpetas propuesta</w:t>
      </w:r>
    </w:p>
    <w:p>
      <w:pPr>
        <w:pStyle w:val="IntenseQuote"/>
      </w:pPr>
      <w:r>
        <w:t>PS-DEALS/</w:t>
        <w:br/>
        <w:t xml:space="preserve">  frontend/              Interfaz actual</w:t>
        <w:br/>
        <w:t xml:space="preserve">    components/ css/ js/ img/</w:t>
        <w:br/>
        <w:t xml:space="preserve">  server/</w:t>
        <w:br/>
        <w:t xml:space="preserve">    src/</w:t>
        <w:br/>
        <w:t xml:space="preserve">      routes/ controllers/ services/ repositories/</w:t>
        <w:br/>
        <w:t xml:space="preserve">      middleware/ validators/ utils/</w:t>
        <w:br/>
        <w:t xml:space="preserve">    app.js</w:t>
        <w:br/>
        <w:t xml:space="preserve">  database/</w:t>
        <w:br/>
        <w:t xml:space="preserve">    migrations/ seeds/ backups/</w:t>
        <w:br/>
        <w:t xml:space="preserve">    psdeals.db            No subir a GitHub</w:t>
        <w:br/>
        <w:t xml:space="preserve">  scripts/</w:t>
        <w:br/>
        <w:t xml:space="preserve">    migrate-localstorage.js</w:t>
        <w:br/>
        <w:t xml:space="preserve">    backup-db.js</w:t>
        <w:br/>
        <w:t xml:space="preserve">    restore-db.js</w:t>
        <w:br/>
        <w:t xml:space="preserve">  docs/</w:t>
        <w:br/>
        <w:t xml:space="preserve">  tests/</w:t>
      </w:r>
    </w:p>
    <w:p>
      <w:pPr>
        <w:pStyle w:val="Heading1"/>
      </w:pPr>
      <w:r>
        <w:t>5. Modelo de datos principal</w:t>
      </w:r>
    </w:p>
    <w:p>
      <w:pPr>
        <w:jc w:val="center"/>
      </w:pPr>
      <w:r>
        <w:drawing>
          <wp:inline xmlns:a="http://schemas.openxmlformats.org/drawingml/2006/main" xmlns:pic="http://schemas.openxmlformats.org/drawingml/2006/picture">
            <wp:extent cx="6400800" cy="2315183"/>
            <wp:docPr id="1" name="Picture 1"/>
            <wp:cNvGraphicFramePr>
              <a:graphicFrameLocks noChangeAspect="1"/>
            </wp:cNvGraphicFramePr>
            <a:graphic>
              <a:graphicData uri="http://schemas.openxmlformats.org/drawingml/2006/picture">
                <pic:pic>
                  <pic:nvPicPr>
                    <pic:cNvPr id="0" name="modelo-er.png"/>
                    <pic:cNvPicPr/>
                  </pic:nvPicPr>
                  <pic:blipFill>
                    <a:blip r:embed="rId9"/>
                    <a:stretch>
                      <a:fillRect/>
                    </a:stretch>
                  </pic:blipFill>
                  <pic:spPr>
                    <a:xfrm>
                      <a:off x="0" y="0"/>
                      <a:ext cx="6400800" cy="2315183"/>
                    </a:xfrm>
                    <a:prstGeom prst="rect"/>
                  </pic:spPr>
                </pic:pic>
              </a:graphicData>
            </a:graphic>
          </wp:inline>
        </w:drawing>
      </w:r>
    </w:p>
    <w:p>
      <w:pPr>
        <w:pStyle w:val="Caption"/>
      </w:pPr>
      <w:r>
        <w:t>Diagrama resumido. Las tablas operativas adicionales se detallan en la siguiente sección.</w:t>
      </w:r>
    </w:p>
    <w:p>
      <w:pPr>
        <w:pStyle w:val="Heading1"/>
      </w:pPr>
      <w:r>
        <w:t>6. Catálogo de tablas</w:t>
      </w:r>
    </w:p>
    <w:tbl>
      <w:tblPr>
        <w:tblStyle w:val="TableGrid"/>
        <w:tblW w:type="auto" w:w="0"/>
        <w:tblLook w:firstColumn="1" w:firstRow="1" w:lastColumn="0" w:lastRow="0" w:noHBand="0" w:noVBand="1" w:val="04A0"/>
      </w:tblPr>
      <w:tblGrid>
        <w:gridCol w:w="5112"/>
        <w:gridCol w:w="5112"/>
      </w:tblGrid>
      <w:tr>
        <w:tc>
          <w:tcPr>
            <w:tcW w:type="dxa" w:w="5112"/>
            <w:vAlign w:val="center"/>
            <w:shd w:fill="2563EB"/>
          </w:tcPr>
          <w:p>
            <w:r/>
            <w:r>
              <w:rPr>
                <w:b/>
                <w:color w:val="FFFFFF"/>
                <w:sz w:val="18"/>
              </w:rPr>
              <w:t>Tabla</w:t>
            </w:r>
          </w:p>
        </w:tc>
        <w:tc>
          <w:tcPr>
            <w:tcW w:type="dxa" w:w="5112"/>
            <w:vAlign w:val="center"/>
            <w:shd w:fill="2563EB"/>
          </w:tcPr>
          <w:p>
            <w:r/>
            <w:r>
              <w:rPr>
                <w:b/>
                <w:color w:val="FFFFFF"/>
                <w:sz w:val="18"/>
              </w:rPr>
              <w:t>Propósito</w:t>
            </w:r>
          </w:p>
        </w:tc>
      </w:tr>
      <w:tr>
        <w:tc>
          <w:tcPr>
            <w:tcW w:type="dxa" w:w="5112"/>
            <w:vAlign w:val="center"/>
          </w:tcPr>
          <w:p>
            <w:r/>
            <w:r>
              <w:rPr>
                <w:b/>
                <w:sz w:val="16"/>
              </w:rPr>
              <w:t>roles</w:t>
            </w:r>
          </w:p>
        </w:tc>
        <w:tc>
          <w:tcPr>
            <w:tcW w:type="dxa" w:w="5112"/>
            <w:vAlign w:val="center"/>
          </w:tcPr>
          <w:p>
            <w:r/>
            <w:r>
              <w:rPr>
                <w:b w:val="0"/>
                <w:sz w:val="16"/>
              </w:rPr>
              <w:t>Perfiles y permisos base.</w:t>
            </w:r>
          </w:p>
        </w:tc>
      </w:tr>
      <w:tr>
        <w:tc>
          <w:tcPr>
            <w:tcW w:type="dxa" w:w="5112"/>
            <w:vAlign w:val="center"/>
          </w:tcPr>
          <w:p>
            <w:r/>
            <w:r>
              <w:rPr>
                <w:b/>
                <w:sz w:val="16"/>
              </w:rPr>
              <w:t>usuarios</w:t>
            </w:r>
          </w:p>
        </w:tc>
        <w:tc>
          <w:tcPr>
            <w:tcW w:type="dxa" w:w="5112"/>
            <w:vAlign w:val="center"/>
          </w:tcPr>
          <w:p>
            <w:r/>
            <w:r>
              <w:rPr>
                <w:b w:val="0"/>
                <w:sz w:val="16"/>
              </w:rPr>
              <w:t>Acceso, estado y vínculo con rol.</w:t>
            </w:r>
          </w:p>
        </w:tc>
      </w:tr>
      <w:tr>
        <w:tc>
          <w:tcPr>
            <w:tcW w:type="dxa" w:w="5112"/>
            <w:vAlign w:val="center"/>
          </w:tcPr>
          <w:p>
            <w:r/>
            <w:r>
              <w:rPr>
                <w:b/>
                <w:sz w:val="16"/>
              </w:rPr>
              <w:t>permisos</w:t>
            </w:r>
          </w:p>
        </w:tc>
        <w:tc>
          <w:tcPr>
            <w:tcW w:type="dxa" w:w="5112"/>
            <w:vAlign w:val="center"/>
          </w:tcPr>
          <w:p>
            <w:r/>
            <w:r>
              <w:rPr>
                <w:b w:val="0"/>
                <w:sz w:val="16"/>
              </w:rPr>
              <w:t>Acciones disponibles por módulo.</w:t>
            </w:r>
          </w:p>
        </w:tc>
      </w:tr>
      <w:tr>
        <w:tc>
          <w:tcPr>
            <w:tcW w:type="dxa" w:w="5112"/>
            <w:vAlign w:val="center"/>
          </w:tcPr>
          <w:p>
            <w:r/>
            <w:r>
              <w:rPr>
                <w:b/>
                <w:sz w:val="16"/>
              </w:rPr>
              <w:t>rol_permiso</w:t>
            </w:r>
          </w:p>
        </w:tc>
        <w:tc>
          <w:tcPr>
            <w:tcW w:type="dxa" w:w="5112"/>
            <w:vAlign w:val="center"/>
          </w:tcPr>
          <w:p>
            <w:r/>
            <w:r>
              <w:rPr>
                <w:b w:val="0"/>
                <w:sz w:val="16"/>
              </w:rPr>
              <w:t>Relación muchos a muchos.</w:t>
            </w:r>
          </w:p>
        </w:tc>
      </w:tr>
      <w:tr>
        <w:tc>
          <w:tcPr>
            <w:tcW w:type="dxa" w:w="5112"/>
            <w:vAlign w:val="center"/>
          </w:tcPr>
          <w:p>
            <w:r/>
            <w:r>
              <w:rPr>
                <w:b/>
                <w:sz w:val="16"/>
              </w:rPr>
              <w:t>clientes</w:t>
            </w:r>
          </w:p>
        </w:tc>
        <w:tc>
          <w:tcPr>
            <w:tcW w:type="dxa" w:w="5112"/>
            <w:vAlign w:val="center"/>
          </w:tcPr>
          <w:p>
            <w:r/>
            <w:r>
              <w:rPr>
                <w:b w:val="0"/>
                <w:sz w:val="16"/>
              </w:rPr>
              <w:t>Datos y estado comercial.</w:t>
            </w:r>
          </w:p>
        </w:tc>
      </w:tr>
      <w:tr>
        <w:tc>
          <w:tcPr>
            <w:tcW w:type="dxa" w:w="5112"/>
            <w:vAlign w:val="center"/>
          </w:tcPr>
          <w:p>
            <w:r/>
            <w:r>
              <w:rPr>
                <w:b/>
                <w:sz w:val="16"/>
              </w:rPr>
              <w:t>categorias</w:t>
            </w:r>
          </w:p>
        </w:tc>
        <w:tc>
          <w:tcPr>
            <w:tcW w:type="dxa" w:w="5112"/>
            <w:vAlign w:val="center"/>
          </w:tcPr>
          <w:p>
            <w:r/>
            <w:r>
              <w:rPr>
                <w:b w:val="0"/>
                <w:sz w:val="16"/>
              </w:rPr>
              <w:t>Clasificación de productos.</w:t>
            </w:r>
          </w:p>
        </w:tc>
      </w:tr>
      <w:tr>
        <w:tc>
          <w:tcPr>
            <w:tcW w:type="dxa" w:w="5112"/>
            <w:vAlign w:val="center"/>
          </w:tcPr>
          <w:p>
            <w:r/>
            <w:r>
              <w:rPr>
                <w:b/>
                <w:sz w:val="16"/>
              </w:rPr>
              <w:t>proveedores</w:t>
            </w:r>
          </w:p>
        </w:tc>
        <w:tc>
          <w:tcPr>
            <w:tcW w:type="dxa" w:w="5112"/>
            <w:vAlign w:val="center"/>
          </w:tcPr>
          <w:p>
            <w:r/>
            <w:r>
              <w:rPr>
                <w:b w:val="0"/>
                <w:sz w:val="16"/>
              </w:rPr>
              <w:t>Datos de abastecimiento.</w:t>
            </w:r>
          </w:p>
        </w:tc>
      </w:tr>
      <w:tr>
        <w:tc>
          <w:tcPr>
            <w:tcW w:type="dxa" w:w="5112"/>
            <w:vAlign w:val="center"/>
          </w:tcPr>
          <w:p>
            <w:r/>
            <w:r>
              <w:rPr>
                <w:b/>
                <w:sz w:val="16"/>
              </w:rPr>
              <w:t>productos</w:t>
            </w:r>
          </w:p>
        </w:tc>
        <w:tc>
          <w:tcPr>
            <w:tcW w:type="dxa" w:w="5112"/>
            <w:vAlign w:val="center"/>
          </w:tcPr>
          <w:p>
            <w:r/>
            <w:r>
              <w:rPr>
                <w:b w:val="0"/>
                <w:sz w:val="16"/>
              </w:rPr>
              <w:t>SKU, código, precios, costo y stock.</w:t>
            </w:r>
          </w:p>
        </w:tc>
      </w:tr>
      <w:tr>
        <w:tc>
          <w:tcPr>
            <w:tcW w:type="dxa" w:w="5112"/>
            <w:vAlign w:val="center"/>
          </w:tcPr>
          <w:p>
            <w:r/>
            <w:r>
              <w:rPr>
                <w:b/>
                <w:sz w:val="16"/>
              </w:rPr>
              <w:t>ventas</w:t>
            </w:r>
          </w:p>
        </w:tc>
        <w:tc>
          <w:tcPr>
            <w:tcW w:type="dxa" w:w="5112"/>
            <w:vAlign w:val="center"/>
          </w:tcPr>
          <w:p>
            <w:r/>
            <w:r>
              <w:rPr>
                <w:b w:val="0"/>
                <w:sz w:val="16"/>
              </w:rPr>
              <w:t>Encabezado de operación.</w:t>
            </w:r>
          </w:p>
        </w:tc>
      </w:tr>
      <w:tr>
        <w:tc>
          <w:tcPr>
            <w:tcW w:type="dxa" w:w="5112"/>
            <w:vAlign w:val="center"/>
          </w:tcPr>
          <w:p>
            <w:r/>
            <w:r>
              <w:rPr>
                <w:b/>
                <w:sz w:val="16"/>
              </w:rPr>
              <w:t>detalle_venta</w:t>
            </w:r>
          </w:p>
        </w:tc>
        <w:tc>
          <w:tcPr>
            <w:tcW w:type="dxa" w:w="5112"/>
            <w:vAlign w:val="center"/>
          </w:tcPr>
          <w:p>
            <w:r/>
            <w:r>
              <w:rPr>
                <w:b w:val="0"/>
                <w:sz w:val="16"/>
              </w:rPr>
              <w:t>Partidas vendidas y costo histórico.</w:t>
            </w:r>
          </w:p>
        </w:tc>
      </w:tr>
      <w:tr>
        <w:tc>
          <w:tcPr>
            <w:tcW w:type="dxa" w:w="5112"/>
            <w:vAlign w:val="center"/>
          </w:tcPr>
          <w:p>
            <w:r/>
            <w:r>
              <w:rPr>
                <w:b/>
                <w:sz w:val="16"/>
              </w:rPr>
              <w:t>pagos_venta</w:t>
            </w:r>
          </w:p>
        </w:tc>
        <w:tc>
          <w:tcPr>
            <w:tcW w:type="dxa" w:w="5112"/>
            <w:vAlign w:val="center"/>
          </w:tcPr>
          <w:p>
            <w:r/>
            <w:r>
              <w:rPr>
                <w:b w:val="0"/>
                <w:sz w:val="16"/>
              </w:rPr>
              <w:t>Pagos por método y referencia.</w:t>
            </w:r>
          </w:p>
        </w:tc>
      </w:tr>
      <w:tr>
        <w:tc>
          <w:tcPr>
            <w:tcW w:type="dxa" w:w="5112"/>
            <w:vAlign w:val="center"/>
          </w:tcPr>
          <w:p>
            <w:r/>
            <w:r>
              <w:rPr>
                <w:b/>
                <w:sz w:val="16"/>
              </w:rPr>
              <w:t>compras</w:t>
            </w:r>
          </w:p>
        </w:tc>
        <w:tc>
          <w:tcPr>
            <w:tcW w:type="dxa" w:w="5112"/>
            <w:vAlign w:val="center"/>
          </w:tcPr>
          <w:p>
            <w:r/>
            <w:r>
              <w:rPr>
                <w:b w:val="0"/>
                <w:sz w:val="16"/>
              </w:rPr>
              <w:t>Encabezado de abastecimiento.</w:t>
            </w:r>
          </w:p>
        </w:tc>
      </w:tr>
      <w:tr>
        <w:tc>
          <w:tcPr>
            <w:tcW w:type="dxa" w:w="5112"/>
            <w:vAlign w:val="center"/>
          </w:tcPr>
          <w:p>
            <w:r/>
            <w:r>
              <w:rPr>
                <w:b/>
                <w:sz w:val="16"/>
              </w:rPr>
              <w:t>detalle_compra</w:t>
            </w:r>
          </w:p>
        </w:tc>
        <w:tc>
          <w:tcPr>
            <w:tcW w:type="dxa" w:w="5112"/>
            <w:vAlign w:val="center"/>
          </w:tcPr>
          <w:p>
            <w:r/>
            <w:r>
              <w:rPr>
                <w:b w:val="0"/>
                <w:sz w:val="16"/>
              </w:rPr>
              <w:t>Partidas compradas.</w:t>
            </w:r>
          </w:p>
        </w:tc>
      </w:tr>
      <w:tr>
        <w:tc>
          <w:tcPr>
            <w:tcW w:type="dxa" w:w="5112"/>
            <w:vAlign w:val="center"/>
          </w:tcPr>
          <w:p>
            <w:r/>
            <w:r>
              <w:rPr>
                <w:b/>
                <w:sz w:val="16"/>
              </w:rPr>
              <w:t>movimientos_inventario</w:t>
            </w:r>
          </w:p>
        </w:tc>
        <w:tc>
          <w:tcPr>
            <w:tcW w:type="dxa" w:w="5112"/>
            <w:vAlign w:val="center"/>
          </w:tcPr>
          <w:p>
            <w:r/>
            <w:r>
              <w:rPr>
                <w:b w:val="0"/>
                <w:sz w:val="16"/>
              </w:rPr>
              <w:t>Kardex inmutable.</w:t>
            </w:r>
          </w:p>
        </w:tc>
      </w:tr>
      <w:tr>
        <w:tc>
          <w:tcPr>
            <w:tcW w:type="dxa" w:w="5112"/>
            <w:vAlign w:val="center"/>
          </w:tcPr>
          <w:p>
            <w:r/>
            <w:r>
              <w:rPr>
                <w:b/>
                <w:sz w:val="16"/>
              </w:rPr>
              <w:t>cuentas_cobrar</w:t>
            </w:r>
          </w:p>
        </w:tc>
        <w:tc>
          <w:tcPr>
            <w:tcW w:type="dxa" w:w="5112"/>
            <w:vAlign w:val="center"/>
          </w:tcPr>
          <w:p>
            <w:r/>
            <w:r>
              <w:rPr>
                <w:b w:val="0"/>
                <w:sz w:val="16"/>
              </w:rPr>
              <w:t>Saldo derivado de venta a crédito.</w:t>
            </w:r>
          </w:p>
        </w:tc>
      </w:tr>
      <w:tr>
        <w:tc>
          <w:tcPr>
            <w:tcW w:type="dxa" w:w="5112"/>
            <w:vAlign w:val="center"/>
          </w:tcPr>
          <w:p>
            <w:r/>
            <w:r>
              <w:rPr>
                <w:b/>
                <w:sz w:val="16"/>
              </w:rPr>
              <w:t>pagos_cxc</w:t>
            </w:r>
          </w:p>
        </w:tc>
        <w:tc>
          <w:tcPr>
            <w:tcW w:type="dxa" w:w="5112"/>
            <w:vAlign w:val="center"/>
          </w:tcPr>
          <w:p>
            <w:r/>
            <w:r>
              <w:rPr>
                <w:b w:val="0"/>
                <w:sz w:val="16"/>
              </w:rPr>
              <w:t>Abonos y cancelaciones.</w:t>
            </w:r>
          </w:p>
        </w:tc>
      </w:tr>
      <w:tr>
        <w:tc>
          <w:tcPr>
            <w:tcW w:type="dxa" w:w="5112"/>
            <w:vAlign w:val="center"/>
          </w:tcPr>
          <w:p>
            <w:r/>
            <w:r>
              <w:rPr>
                <w:b/>
                <w:sz w:val="16"/>
              </w:rPr>
              <w:t>apartados</w:t>
            </w:r>
          </w:p>
        </w:tc>
        <w:tc>
          <w:tcPr>
            <w:tcW w:type="dxa" w:w="5112"/>
            <w:vAlign w:val="center"/>
          </w:tcPr>
          <w:p>
            <w:r/>
            <w:r>
              <w:rPr>
                <w:b w:val="0"/>
                <w:sz w:val="16"/>
              </w:rPr>
              <w:t>Reservas y vigencia.</w:t>
            </w:r>
          </w:p>
        </w:tc>
      </w:tr>
      <w:tr>
        <w:tc>
          <w:tcPr>
            <w:tcW w:type="dxa" w:w="5112"/>
            <w:vAlign w:val="center"/>
          </w:tcPr>
          <w:p>
            <w:r/>
            <w:r>
              <w:rPr>
                <w:b/>
                <w:sz w:val="16"/>
              </w:rPr>
              <w:t>detalle_apartado</w:t>
            </w:r>
          </w:p>
        </w:tc>
        <w:tc>
          <w:tcPr>
            <w:tcW w:type="dxa" w:w="5112"/>
            <w:vAlign w:val="center"/>
          </w:tcPr>
          <w:p>
            <w:r/>
            <w:r>
              <w:rPr>
                <w:b w:val="0"/>
                <w:sz w:val="16"/>
              </w:rPr>
              <w:t>Productos reservados.</w:t>
            </w:r>
          </w:p>
        </w:tc>
      </w:tr>
      <w:tr>
        <w:tc>
          <w:tcPr>
            <w:tcW w:type="dxa" w:w="5112"/>
            <w:vAlign w:val="center"/>
          </w:tcPr>
          <w:p>
            <w:r/>
            <w:r>
              <w:rPr>
                <w:b/>
                <w:sz w:val="16"/>
              </w:rPr>
              <w:t>abonos_apartado</w:t>
            </w:r>
          </w:p>
        </w:tc>
        <w:tc>
          <w:tcPr>
            <w:tcW w:type="dxa" w:w="5112"/>
            <w:vAlign w:val="center"/>
          </w:tcPr>
          <w:p>
            <w:r/>
            <w:r>
              <w:rPr>
                <w:b w:val="0"/>
                <w:sz w:val="16"/>
              </w:rPr>
              <w:t>Pagos parciales.</w:t>
            </w:r>
          </w:p>
        </w:tc>
      </w:tr>
      <w:tr>
        <w:tc>
          <w:tcPr>
            <w:tcW w:type="dxa" w:w="5112"/>
            <w:vAlign w:val="center"/>
          </w:tcPr>
          <w:p>
            <w:r/>
            <w:r>
              <w:rPr>
                <w:b/>
                <w:sz w:val="16"/>
              </w:rPr>
              <w:t>gastos</w:t>
            </w:r>
          </w:p>
        </w:tc>
        <w:tc>
          <w:tcPr>
            <w:tcW w:type="dxa" w:w="5112"/>
            <w:vAlign w:val="center"/>
          </w:tcPr>
          <w:p>
            <w:r/>
            <w:r>
              <w:rPr>
                <w:b w:val="0"/>
                <w:sz w:val="16"/>
              </w:rPr>
              <w:t>Egresos operativos.</w:t>
            </w:r>
          </w:p>
        </w:tc>
      </w:tr>
      <w:tr>
        <w:tc>
          <w:tcPr>
            <w:tcW w:type="dxa" w:w="5112"/>
            <w:vAlign w:val="center"/>
          </w:tcPr>
          <w:p>
            <w:r/>
            <w:r>
              <w:rPr>
                <w:b/>
                <w:sz w:val="16"/>
              </w:rPr>
              <w:t>devoluciones</w:t>
            </w:r>
          </w:p>
        </w:tc>
        <w:tc>
          <w:tcPr>
            <w:tcW w:type="dxa" w:w="5112"/>
            <w:vAlign w:val="center"/>
          </w:tcPr>
          <w:p>
            <w:r/>
            <w:r>
              <w:rPr>
                <w:b w:val="0"/>
                <w:sz w:val="16"/>
              </w:rPr>
              <w:t>Encabezado de devolución.</w:t>
            </w:r>
          </w:p>
        </w:tc>
      </w:tr>
      <w:tr>
        <w:tc>
          <w:tcPr>
            <w:tcW w:type="dxa" w:w="5112"/>
            <w:vAlign w:val="center"/>
          </w:tcPr>
          <w:p>
            <w:r/>
            <w:r>
              <w:rPr>
                <w:b/>
                <w:sz w:val="16"/>
              </w:rPr>
              <w:t>detalle_devolucion</w:t>
            </w:r>
          </w:p>
        </w:tc>
        <w:tc>
          <w:tcPr>
            <w:tcW w:type="dxa" w:w="5112"/>
            <w:vAlign w:val="center"/>
          </w:tcPr>
          <w:p>
            <w:r/>
            <w:r>
              <w:rPr>
                <w:b w:val="0"/>
                <w:sz w:val="16"/>
              </w:rPr>
              <w:t>Productos y cantidades devueltas.</w:t>
            </w:r>
          </w:p>
        </w:tc>
      </w:tr>
      <w:tr>
        <w:tc>
          <w:tcPr>
            <w:tcW w:type="dxa" w:w="5112"/>
            <w:vAlign w:val="center"/>
          </w:tcPr>
          <w:p>
            <w:r/>
            <w:r>
              <w:rPr>
                <w:b/>
                <w:sz w:val="16"/>
              </w:rPr>
              <w:t>notificaciones</w:t>
            </w:r>
          </w:p>
        </w:tc>
        <w:tc>
          <w:tcPr>
            <w:tcW w:type="dxa" w:w="5112"/>
            <w:vAlign w:val="center"/>
          </w:tcPr>
          <w:p>
            <w:r/>
            <w:r>
              <w:rPr>
                <w:b w:val="0"/>
                <w:sz w:val="16"/>
              </w:rPr>
              <w:t>Alertas generadas y estado.</w:t>
            </w:r>
          </w:p>
        </w:tc>
      </w:tr>
      <w:tr>
        <w:tc>
          <w:tcPr>
            <w:tcW w:type="dxa" w:w="5112"/>
            <w:vAlign w:val="center"/>
          </w:tcPr>
          <w:p>
            <w:r/>
            <w:r>
              <w:rPr>
                <w:b/>
                <w:sz w:val="16"/>
              </w:rPr>
              <w:t>actividad</w:t>
            </w:r>
          </w:p>
        </w:tc>
        <w:tc>
          <w:tcPr>
            <w:tcW w:type="dxa" w:w="5112"/>
            <w:vAlign w:val="center"/>
          </w:tcPr>
          <w:p>
            <w:r/>
            <w:r>
              <w:rPr>
                <w:b w:val="0"/>
                <w:sz w:val="16"/>
              </w:rPr>
              <w:t>Bitácora de eventos del sistema.</w:t>
            </w:r>
          </w:p>
        </w:tc>
      </w:tr>
      <w:tr>
        <w:tc>
          <w:tcPr>
            <w:tcW w:type="dxa" w:w="5112"/>
            <w:vAlign w:val="center"/>
          </w:tcPr>
          <w:p>
            <w:r/>
            <w:r>
              <w:rPr>
                <w:b/>
                <w:sz w:val="16"/>
              </w:rPr>
              <w:t>configuracion</w:t>
            </w:r>
          </w:p>
        </w:tc>
        <w:tc>
          <w:tcPr>
            <w:tcW w:type="dxa" w:w="5112"/>
            <w:vAlign w:val="center"/>
          </w:tcPr>
          <w:p>
            <w:r/>
            <w:r>
              <w:rPr>
                <w:b w:val="0"/>
                <w:sz w:val="16"/>
              </w:rPr>
              <w:t>Valores de negocio y ticket.</w:t>
            </w:r>
          </w:p>
        </w:tc>
      </w:tr>
      <w:tr>
        <w:tc>
          <w:tcPr>
            <w:tcW w:type="dxa" w:w="5112"/>
            <w:vAlign w:val="center"/>
          </w:tcPr>
          <w:p>
            <w:r/>
            <w:r>
              <w:rPr>
                <w:b/>
                <w:sz w:val="16"/>
              </w:rPr>
              <w:t>migraciones_datos</w:t>
            </w:r>
          </w:p>
        </w:tc>
        <w:tc>
          <w:tcPr>
            <w:tcW w:type="dxa" w:w="5112"/>
            <w:vAlign w:val="center"/>
          </w:tcPr>
          <w:p>
            <w:r/>
            <w:r>
              <w:rPr>
                <w:b w:val="0"/>
                <w:sz w:val="16"/>
              </w:rPr>
              <w:t>Control de importación desde v3.9.1.</w:t>
            </w:r>
          </w:p>
        </w:tc>
      </w:tr>
    </w:tbl>
    <w:p>
      <w:pPr>
        <w:pStyle w:val="Heading1"/>
      </w:pPr>
      <w:r>
        <w:t>7. Reglas críticas de negocio</w:t>
      </w:r>
    </w:p>
    <w:p>
      <w:pPr>
        <w:pStyle w:val="ListBullet"/>
      </w:pPr>
      <w:r>
        <w:t>Una venta y sus partidas se guardan en una sola transacción.</w:t>
      </w:r>
    </w:p>
    <w:p>
      <w:pPr>
        <w:pStyle w:val="ListBullet"/>
      </w:pPr>
      <w:r>
        <w:t>El stock nunca se modifica sin generar un movimiento de inventario.</w:t>
      </w:r>
    </w:p>
    <w:p>
      <w:pPr>
        <w:pStyle w:val="ListBullet"/>
      </w:pPr>
      <w:r>
        <w:t>Las devoluciones referencian la venta original y no eliminan registros históricos.</w:t>
      </w:r>
    </w:p>
    <w:p>
      <w:pPr>
        <w:pStyle w:val="ListBullet"/>
      </w:pPr>
      <w:r>
        <w:t>Los precios y costos usados en una venta se conservan en detalle_venta, aunque cambie el producto.</w:t>
      </w:r>
    </w:p>
    <w:p>
      <w:pPr>
        <w:pStyle w:val="ListBullet"/>
      </w:pPr>
      <w:r>
        <w:t>Un apartado reduce la existencia disponible, pero no la existencia física hasta liquidarse o cancelarse.</w:t>
      </w:r>
    </w:p>
    <w:p>
      <w:pPr>
        <w:pStyle w:val="ListBullet"/>
      </w:pPr>
      <w:r>
        <w:t>Los saldos se calculan desde cargos y pagos; no deben depender solo de un campo editable.</w:t>
      </w:r>
    </w:p>
    <w:p>
      <w:pPr>
        <w:pStyle w:val="ListBullet"/>
      </w:pPr>
      <w:r>
        <w:t>Las operaciones sensibles registran usuario, fecha, valor anterior y valor nuevo.</w:t>
      </w:r>
    </w:p>
    <w:p>
      <w:pPr>
        <w:pStyle w:val="ListBullet"/>
      </w:pPr>
      <w:r>
        <w:t>No se permite borrar físicamente ventas, compras, pagos ni movimientos; se cancelan con motivo.</w:t>
      </w:r>
    </w:p>
    <w:p>
      <w:pPr>
        <w:pStyle w:val="Heading1"/>
      </w:pPr>
      <w:r>
        <w:t>8. Plan de migración desde v3.9.1</w:t>
      </w:r>
    </w:p>
    <w:tbl>
      <w:tblPr>
        <w:tblStyle w:val="TableGrid"/>
        <w:tblW w:type="auto" w:w="0"/>
        <w:tblLook w:firstColumn="1" w:firstRow="1" w:lastColumn="0" w:lastRow="0" w:noHBand="0" w:noVBand="1" w:val="04A0"/>
      </w:tblPr>
      <w:tblGrid>
        <w:gridCol w:w="5112"/>
        <w:gridCol w:w="5112"/>
      </w:tblGrid>
      <w:tr>
        <w:tc>
          <w:tcPr>
            <w:tcW w:type="dxa" w:w="5112"/>
            <w:vAlign w:val="center"/>
            <w:shd w:fill="1E3A8A"/>
          </w:tcPr>
          <w:p>
            <w:r/>
            <w:r>
              <w:rPr>
                <w:b/>
                <w:color w:val="FFFFFF"/>
                <w:sz w:val="18"/>
              </w:rPr>
              <w:t>Fase</w:t>
            </w:r>
          </w:p>
        </w:tc>
        <w:tc>
          <w:tcPr>
            <w:tcW w:type="dxa" w:w="5112"/>
            <w:vAlign w:val="center"/>
            <w:shd w:fill="1E3A8A"/>
          </w:tcPr>
          <w:p>
            <w:r/>
            <w:r>
              <w:rPr>
                <w:b/>
                <w:color w:val="FFFFFF"/>
                <w:sz w:val="18"/>
              </w:rPr>
              <w:t>Resultado esperado</w:t>
            </w:r>
          </w:p>
        </w:tc>
      </w:tr>
      <w:tr>
        <w:tc>
          <w:tcPr>
            <w:tcW w:type="dxa" w:w="5112"/>
            <w:vAlign w:val="center"/>
          </w:tcPr>
          <w:p>
            <w:r/>
            <w:r>
              <w:rPr>
                <w:b/>
                <w:sz w:val="18"/>
              </w:rPr>
              <w:t>0. Congelación</w:t>
            </w:r>
          </w:p>
        </w:tc>
        <w:tc>
          <w:tcPr>
            <w:tcW w:type="dxa" w:w="5112"/>
            <w:vAlign w:val="center"/>
          </w:tcPr>
          <w:p>
            <w:r/>
            <w:r>
              <w:rPr>
                <w:b w:val="0"/>
                <w:sz w:val="18"/>
              </w:rPr>
              <w:t>Commit, ZIP del código y respaldo JSON de datos.</w:t>
            </w:r>
          </w:p>
        </w:tc>
      </w:tr>
      <w:tr>
        <w:tc>
          <w:tcPr>
            <w:tcW w:type="dxa" w:w="5112"/>
            <w:vAlign w:val="center"/>
          </w:tcPr>
          <w:p>
            <w:r/>
            <w:r>
              <w:rPr>
                <w:b/>
                <w:sz w:val="18"/>
              </w:rPr>
              <w:t>1. Inventario</w:t>
            </w:r>
          </w:p>
        </w:tc>
        <w:tc>
          <w:tcPr>
            <w:tcW w:type="dxa" w:w="5112"/>
            <w:vAlign w:val="center"/>
          </w:tcPr>
          <w:p>
            <w:r/>
            <w:r>
              <w:rPr>
                <w:b w:val="0"/>
                <w:sz w:val="18"/>
              </w:rPr>
              <w:t>Detectar claves localStorage, estructura y conteos.</w:t>
            </w:r>
          </w:p>
        </w:tc>
      </w:tr>
      <w:tr>
        <w:tc>
          <w:tcPr>
            <w:tcW w:type="dxa" w:w="5112"/>
            <w:vAlign w:val="center"/>
          </w:tcPr>
          <w:p>
            <w:r/>
            <w:r>
              <w:rPr>
                <w:b/>
                <w:sz w:val="18"/>
              </w:rPr>
              <w:t>2. Base vacía</w:t>
            </w:r>
          </w:p>
        </w:tc>
        <w:tc>
          <w:tcPr>
            <w:tcW w:type="dxa" w:w="5112"/>
            <w:vAlign w:val="center"/>
          </w:tcPr>
          <w:p>
            <w:r/>
            <w:r>
              <w:rPr>
                <w:b w:val="0"/>
                <w:sz w:val="18"/>
              </w:rPr>
              <w:t>Crear SQLite mediante migraciones SQL versionadas.</w:t>
            </w:r>
          </w:p>
        </w:tc>
      </w:tr>
      <w:tr>
        <w:tc>
          <w:tcPr>
            <w:tcW w:type="dxa" w:w="5112"/>
            <w:vAlign w:val="center"/>
          </w:tcPr>
          <w:p>
            <w:r/>
            <w:r>
              <w:rPr>
                <w:b/>
                <w:sz w:val="18"/>
              </w:rPr>
              <w:t>3. Importación</w:t>
            </w:r>
          </w:p>
        </w:tc>
        <w:tc>
          <w:tcPr>
            <w:tcW w:type="dxa" w:w="5112"/>
            <w:vAlign w:val="center"/>
          </w:tcPr>
          <w:p>
            <w:r/>
            <w:r>
              <w:rPr>
                <w:b w:val="0"/>
                <w:sz w:val="18"/>
              </w:rPr>
              <w:t>Transformar productos, clientes, ventas y demás colecciones.</w:t>
            </w:r>
          </w:p>
        </w:tc>
      </w:tr>
      <w:tr>
        <w:tc>
          <w:tcPr>
            <w:tcW w:type="dxa" w:w="5112"/>
            <w:vAlign w:val="center"/>
          </w:tcPr>
          <w:p>
            <w:r/>
            <w:r>
              <w:rPr>
                <w:b/>
                <w:sz w:val="18"/>
              </w:rPr>
              <w:t>4. Conciliación</w:t>
            </w:r>
          </w:p>
        </w:tc>
        <w:tc>
          <w:tcPr>
            <w:tcW w:type="dxa" w:w="5112"/>
            <w:vAlign w:val="center"/>
          </w:tcPr>
          <w:p>
            <w:r/>
            <w:r>
              <w:rPr>
                <w:b w:val="0"/>
                <w:sz w:val="18"/>
              </w:rPr>
              <w:t>Comparar conteos, totales de ventas, saldos y existencias.</w:t>
            </w:r>
          </w:p>
        </w:tc>
      </w:tr>
      <w:tr>
        <w:tc>
          <w:tcPr>
            <w:tcW w:type="dxa" w:w="5112"/>
            <w:vAlign w:val="center"/>
          </w:tcPr>
          <w:p>
            <w:r/>
            <w:r>
              <w:rPr>
                <w:b/>
                <w:sz w:val="18"/>
              </w:rPr>
              <w:t>5. Prueba paralela</w:t>
            </w:r>
          </w:p>
        </w:tc>
        <w:tc>
          <w:tcPr>
            <w:tcW w:type="dxa" w:w="5112"/>
            <w:vAlign w:val="center"/>
          </w:tcPr>
          <w:p>
            <w:r/>
            <w:r>
              <w:rPr>
                <w:b w:val="0"/>
                <w:sz w:val="18"/>
              </w:rPr>
              <w:t>Usar copia de datos; conservar localStorage como solo lectura.</w:t>
            </w:r>
          </w:p>
        </w:tc>
      </w:tr>
      <w:tr>
        <w:tc>
          <w:tcPr>
            <w:tcW w:type="dxa" w:w="5112"/>
            <w:vAlign w:val="center"/>
          </w:tcPr>
          <w:p>
            <w:r/>
            <w:r>
              <w:rPr>
                <w:b/>
                <w:sz w:val="18"/>
              </w:rPr>
              <w:t>6. Corte</w:t>
            </w:r>
          </w:p>
        </w:tc>
        <w:tc>
          <w:tcPr>
            <w:tcW w:type="dxa" w:w="5112"/>
            <w:vAlign w:val="center"/>
          </w:tcPr>
          <w:p>
            <w:r/>
            <w:r>
              <w:rPr>
                <w:b w:val="0"/>
                <w:sz w:val="18"/>
              </w:rPr>
              <w:t>Activar API/SQLite y bloquear escrituras antiguas.</w:t>
            </w:r>
          </w:p>
        </w:tc>
      </w:tr>
      <w:tr>
        <w:tc>
          <w:tcPr>
            <w:tcW w:type="dxa" w:w="5112"/>
            <w:vAlign w:val="center"/>
          </w:tcPr>
          <w:p>
            <w:r/>
            <w:r>
              <w:rPr>
                <w:b/>
                <w:sz w:val="18"/>
              </w:rPr>
              <w:t>7. Observación</w:t>
            </w:r>
          </w:p>
        </w:tc>
        <w:tc>
          <w:tcPr>
            <w:tcW w:type="dxa" w:w="5112"/>
            <w:vAlign w:val="center"/>
          </w:tcPr>
          <w:p>
            <w:r/>
            <w:r>
              <w:rPr>
                <w:b w:val="0"/>
                <w:sz w:val="18"/>
              </w:rPr>
              <w:t>Revisar errores, respaldos y rendimiento durante varios días.</w:t>
            </w:r>
          </w:p>
        </w:tc>
      </w:tr>
      <w:tr>
        <w:tc>
          <w:tcPr>
            <w:tcW w:type="dxa" w:w="5112"/>
            <w:vAlign w:val="center"/>
          </w:tcPr>
          <w:p>
            <w:r/>
            <w:r>
              <w:rPr>
                <w:b/>
                <w:sz w:val="18"/>
              </w:rPr>
              <w:t>8. Cierre</w:t>
            </w:r>
          </w:p>
        </w:tc>
        <w:tc>
          <w:tcPr>
            <w:tcW w:type="dxa" w:w="5112"/>
            <w:vAlign w:val="center"/>
          </w:tcPr>
          <w:p>
            <w:r/>
            <w:r>
              <w:rPr>
                <w:b w:val="0"/>
                <w:sz w:val="18"/>
              </w:rPr>
              <w:t>Eliminar modo compatibilidad solo tras aceptación.</w:t>
            </w:r>
          </w:p>
        </w:tc>
      </w:tr>
    </w:tbl>
    <w:p>
      <w:pPr>
        <w:pStyle w:val="Heading1"/>
      </w:pPr>
      <w:r>
        <w:t>9. Criterios de aceptación de la migración</w:t>
      </w:r>
    </w:p>
    <w:p>
      <w:r>
        <w:t>☐ 100 % de los registros válidos importados o explicados en un reporte de rechazo.</w:t>
      </w:r>
    </w:p>
    <w:p>
      <w:r>
        <w:t>☐ Totales de ventas por día y global iguales entre origen y destino.</w:t>
      </w:r>
    </w:p>
    <w:p>
      <w:r>
        <w:t>☐ Existencia por producto conciliada con inventario y apartados.</w:t>
      </w:r>
    </w:p>
    <w:p>
      <w:r>
        <w:t>☐ Saldos de cuentas por cobrar y apartados iguales.</w:t>
      </w:r>
    </w:p>
    <w:p>
      <w:r>
        <w:t>☐ Inicio de sesión, permisos, POS, tickets, reportes y respaldos funcionando.</w:t>
      </w:r>
    </w:p>
    <w:p>
      <w:r>
        <w:t>☐ Restauración probada en una instalación limpia.</w:t>
      </w:r>
    </w:p>
    <w:p>
      <w:r>
        <w:t>☐ Cero errores críticos en Diagnóstico.</w:t>
      </w:r>
    </w:p>
    <w:p>
      <w:pPr>
        <w:pStyle w:val="Heading1"/>
      </w:pPr>
      <w:r>
        <w:t>10. Seguridad y respaldo</w:t>
      </w:r>
    </w:p>
    <w:p>
      <w:r>
        <w:t>SQLite mejora la consistencia, pero no sustituye los respaldos. El archivo de base de datos no debe copiarse mientras exista una transacción activa; la aplicación debe ejecutar un respaldo consistente mediante la propia conexión SQLite. Las contraseñas deben almacenarse con hash seguro (Argon2 o bcrypt), nunca en texto plano. La API local debe escuchar en 127.0.0.1 durante v4.0 y aplicar autorización en el servidor, no solo ocultar botones en la interfaz.</w:t>
      </w:r>
    </w:p>
    <w:p>
      <w:pPr>
        <w:pStyle w:val="Heading1"/>
      </w:pPr>
      <w:r>
        <w:t>11. Roadmap propuesto</w:t>
      </w:r>
    </w:p>
    <w:tbl>
      <w:tblPr>
        <w:tblStyle w:val="TableGrid"/>
        <w:tblW w:type="auto" w:w="0"/>
        <w:tblLook w:firstColumn="1" w:firstRow="1" w:lastColumn="0" w:lastRow="0" w:noHBand="0" w:noVBand="1" w:val="04A0"/>
      </w:tblPr>
      <w:tblGrid>
        <w:gridCol w:w="5112"/>
        <w:gridCol w:w="5112"/>
      </w:tblGrid>
      <w:tr>
        <w:tc>
          <w:tcPr>
            <w:tcW w:type="dxa" w:w="5112"/>
            <w:vAlign w:val="center"/>
            <w:shd w:fill="2563EB"/>
          </w:tcPr>
          <w:p>
            <w:r/>
            <w:r>
              <w:rPr>
                <w:b/>
                <w:color w:val="FFFFFF"/>
                <w:sz w:val="18"/>
              </w:rPr>
              <w:t>Versión</w:t>
            </w:r>
          </w:p>
        </w:tc>
        <w:tc>
          <w:tcPr>
            <w:tcW w:type="dxa" w:w="5112"/>
            <w:vAlign w:val="center"/>
            <w:shd w:fill="2563EB"/>
          </w:tcPr>
          <w:p>
            <w:r/>
            <w:r>
              <w:rPr>
                <w:b/>
                <w:color w:val="FFFFFF"/>
                <w:sz w:val="18"/>
              </w:rPr>
              <w:t>Entrega</w:t>
            </w:r>
          </w:p>
        </w:tc>
      </w:tr>
      <w:tr>
        <w:tc>
          <w:tcPr>
            <w:tcW w:type="dxa" w:w="5112"/>
            <w:vAlign w:val="center"/>
          </w:tcPr>
          <w:p>
            <w:r/>
            <w:r>
              <w:rPr>
                <w:b/>
                <w:sz w:val="18"/>
              </w:rPr>
              <w:t>v4.0.0</w:t>
            </w:r>
          </w:p>
        </w:tc>
        <w:tc>
          <w:tcPr>
            <w:tcW w:type="dxa" w:w="5112"/>
            <w:vAlign w:val="center"/>
          </w:tcPr>
          <w:p>
            <w:r/>
            <w:r>
              <w:rPr>
                <w:b w:val="0"/>
                <w:sz w:val="18"/>
              </w:rPr>
              <w:t>Base técnica: API local, SQLite, migraciones y diagnóstico de conexión.</w:t>
            </w:r>
          </w:p>
        </w:tc>
      </w:tr>
      <w:tr>
        <w:tc>
          <w:tcPr>
            <w:tcW w:type="dxa" w:w="5112"/>
            <w:vAlign w:val="center"/>
          </w:tcPr>
          <w:p>
            <w:r/>
            <w:r>
              <w:rPr>
                <w:b/>
                <w:sz w:val="18"/>
              </w:rPr>
              <w:t>v4.0.1</w:t>
            </w:r>
          </w:p>
        </w:tc>
        <w:tc>
          <w:tcPr>
            <w:tcW w:type="dxa" w:w="5112"/>
            <w:vAlign w:val="center"/>
          </w:tcPr>
          <w:p>
            <w:r/>
            <w:r>
              <w:rPr>
                <w:b w:val="0"/>
                <w:sz w:val="18"/>
              </w:rPr>
              <w:t>Migrador de productos, categorías y proveedores.</w:t>
            </w:r>
          </w:p>
        </w:tc>
      </w:tr>
      <w:tr>
        <w:tc>
          <w:tcPr>
            <w:tcW w:type="dxa" w:w="5112"/>
            <w:vAlign w:val="center"/>
          </w:tcPr>
          <w:p>
            <w:r/>
            <w:r>
              <w:rPr>
                <w:b/>
                <w:sz w:val="18"/>
              </w:rPr>
              <w:t>v4.0.2</w:t>
            </w:r>
          </w:p>
        </w:tc>
        <w:tc>
          <w:tcPr>
            <w:tcW w:type="dxa" w:w="5112"/>
            <w:vAlign w:val="center"/>
          </w:tcPr>
          <w:p>
            <w:r/>
            <w:r>
              <w:rPr>
                <w:b w:val="0"/>
                <w:sz w:val="18"/>
              </w:rPr>
              <w:t>Migrador de clientes, usuarios y configuración.</w:t>
            </w:r>
          </w:p>
        </w:tc>
      </w:tr>
      <w:tr>
        <w:tc>
          <w:tcPr>
            <w:tcW w:type="dxa" w:w="5112"/>
            <w:vAlign w:val="center"/>
          </w:tcPr>
          <w:p>
            <w:r/>
            <w:r>
              <w:rPr>
                <w:b/>
                <w:sz w:val="18"/>
              </w:rPr>
              <w:t>v4.0.3</w:t>
            </w:r>
          </w:p>
        </w:tc>
        <w:tc>
          <w:tcPr>
            <w:tcW w:type="dxa" w:w="5112"/>
            <w:vAlign w:val="center"/>
          </w:tcPr>
          <w:p>
            <w:r/>
            <w:r>
              <w:rPr>
                <w:b w:val="0"/>
                <w:sz w:val="18"/>
              </w:rPr>
              <w:t>Ventas, detalles, pagos y cuentas por cobrar.</w:t>
            </w:r>
          </w:p>
        </w:tc>
      </w:tr>
      <w:tr>
        <w:tc>
          <w:tcPr>
            <w:tcW w:type="dxa" w:w="5112"/>
            <w:vAlign w:val="center"/>
          </w:tcPr>
          <w:p>
            <w:r/>
            <w:r>
              <w:rPr>
                <w:b/>
                <w:sz w:val="18"/>
              </w:rPr>
              <w:t>v4.0.4</w:t>
            </w:r>
          </w:p>
        </w:tc>
        <w:tc>
          <w:tcPr>
            <w:tcW w:type="dxa" w:w="5112"/>
            <w:vAlign w:val="center"/>
          </w:tcPr>
          <w:p>
            <w:r/>
            <w:r>
              <w:rPr>
                <w:b w:val="0"/>
                <w:sz w:val="18"/>
              </w:rPr>
              <w:t>Compras, gastos, apartados y devoluciones.</w:t>
            </w:r>
          </w:p>
        </w:tc>
      </w:tr>
      <w:tr>
        <w:tc>
          <w:tcPr>
            <w:tcW w:type="dxa" w:w="5112"/>
            <w:vAlign w:val="center"/>
          </w:tcPr>
          <w:p>
            <w:r/>
            <w:r>
              <w:rPr>
                <w:b/>
                <w:sz w:val="18"/>
              </w:rPr>
              <w:t>v4.0.5</w:t>
            </w:r>
          </w:p>
        </w:tc>
        <w:tc>
          <w:tcPr>
            <w:tcW w:type="dxa" w:w="5112"/>
            <w:vAlign w:val="center"/>
          </w:tcPr>
          <w:p>
            <w:r/>
            <w:r>
              <w:rPr>
                <w:b w:val="0"/>
                <w:sz w:val="18"/>
              </w:rPr>
              <w:t>Conciliación, respaldo/restauración y corte definitivo.</w:t>
            </w:r>
          </w:p>
        </w:tc>
      </w:tr>
      <w:tr>
        <w:tc>
          <w:tcPr>
            <w:tcW w:type="dxa" w:w="5112"/>
            <w:vAlign w:val="center"/>
          </w:tcPr>
          <w:p>
            <w:r/>
            <w:r>
              <w:rPr>
                <w:b/>
                <w:sz w:val="18"/>
              </w:rPr>
              <w:t>v4.1</w:t>
            </w:r>
          </w:p>
        </w:tc>
        <w:tc>
          <w:tcPr>
            <w:tcW w:type="dxa" w:w="5112"/>
            <w:vAlign w:val="center"/>
          </w:tcPr>
          <w:p>
            <w:r/>
            <w:r>
              <w:rPr>
                <w:b w:val="0"/>
                <w:sz w:val="18"/>
              </w:rPr>
              <w:t>Kardex y ajustes de inventario.</w:t>
            </w:r>
          </w:p>
        </w:tc>
      </w:tr>
      <w:tr>
        <w:tc>
          <w:tcPr>
            <w:tcW w:type="dxa" w:w="5112"/>
            <w:vAlign w:val="center"/>
          </w:tcPr>
          <w:p>
            <w:r/>
            <w:r>
              <w:rPr>
                <w:b/>
                <w:sz w:val="18"/>
              </w:rPr>
              <w:t>v4.2</w:t>
            </w:r>
          </w:p>
        </w:tc>
        <w:tc>
          <w:tcPr>
            <w:tcW w:type="dxa" w:w="5112"/>
            <w:vAlign w:val="center"/>
          </w:tcPr>
          <w:p>
            <w:r/>
            <w:r>
              <w:rPr>
                <w:b w:val="0"/>
                <w:sz w:val="18"/>
              </w:rPr>
              <w:t>Reabastecimiento y compras inteligentes.</w:t>
            </w:r>
          </w:p>
        </w:tc>
      </w:tr>
      <w:tr>
        <w:tc>
          <w:tcPr>
            <w:tcW w:type="dxa" w:w="5112"/>
            <w:vAlign w:val="center"/>
          </w:tcPr>
          <w:p>
            <w:r/>
            <w:r>
              <w:rPr>
                <w:b/>
                <w:sz w:val="18"/>
              </w:rPr>
              <w:t>v4.3</w:t>
            </w:r>
          </w:p>
        </w:tc>
        <w:tc>
          <w:tcPr>
            <w:tcW w:type="dxa" w:w="5112"/>
            <w:vAlign w:val="center"/>
          </w:tcPr>
          <w:p>
            <w:r/>
            <w:r>
              <w:rPr>
                <w:b w:val="0"/>
                <w:sz w:val="18"/>
              </w:rPr>
              <w:t>CRM y seguimiento comercial.</w:t>
            </w:r>
          </w:p>
        </w:tc>
      </w:tr>
      <w:tr>
        <w:tc>
          <w:tcPr>
            <w:tcW w:type="dxa" w:w="5112"/>
            <w:vAlign w:val="center"/>
          </w:tcPr>
          <w:p>
            <w:r/>
            <w:r>
              <w:rPr>
                <w:b/>
                <w:sz w:val="18"/>
              </w:rPr>
              <w:t>v4.5</w:t>
            </w:r>
          </w:p>
        </w:tc>
        <w:tc>
          <w:tcPr>
            <w:tcW w:type="dxa" w:w="5112"/>
            <w:vAlign w:val="center"/>
          </w:tcPr>
          <w:p>
            <w:r/>
            <w:r>
              <w:rPr>
                <w:b w:val="0"/>
                <w:sz w:val="18"/>
              </w:rPr>
              <w:t>Reportes financieros avanzados.</w:t>
            </w:r>
          </w:p>
        </w:tc>
      </w:tr>
      <w:tr>
        <w:tc>
          <w:tcPr>
            <w:tcW w:type="dxa" w:w="5112"/>
            <w:vAlign w:val="center"/>
          </w:tcPr>
          <w:p>
            <w:r/>
            <w:r>
              <w:rPr>
                <w:b/>
                <w:sz w:val="18"/>
              </w:rPr>
              <w:t>v5.0</w:t>
            </w:r>
          </w:p>
        </w:tc>
        <w:tc>
          <w:tcPr>
            <w:tcW w:type="dxa" w:w="5112"/>
            <w:vAlign w:val="center"/>
          </w:tcPr>
          <w:p>
            <w:r/>
            <w:r>
              <w:rPr>
                <w:b w:val="0"/>
                <w:sz w:val="18"/>
              </w:rPr>
              <w:t>Servidor en red y base multiusuario; probable PostgreSQL.</w:t>
            </w:r>
          </w:p>
        </w:tc>
      </w:tr>
    </w:tbl>
    <w:p>
      <w:pPr>
        <w:pStyle w:val="Heading1"/>
      </w:pPr>
      <w:r>
        <w:t>12. Primer sprint recomendado</w:t>
      </w:r>
    </w:p>
    <w:p>
      <w:pPr>
        <w:pStyle w:val="Heading2"/>
      </w:pPr>
      <w:r>
        <w:t>PS Deals v4.0.0 - Fundamentos de persistencia</w:t>
      </w:r>
    </w:p>
    <w:p>
      <w:pPr>
        <w:pStyle w:val="ListNumber"/>
      </w:pPr>
      <w:r>
        <w:t>Crear rama git feature/v4-sqlite.</w:t>
      </w:r>
    </w:p>
    <w:p>
      <w:pPr>
        <w:pStyle w:val="ListNumber"/>
      </w:pPr>
      <w:r>
        <w:t>Agregar server/ con Express y endpoint GET /api/health.</w:t>
      </w:r>
    </w:p>
    <w:p>
      <w:pPr>
        <w:pStyle w:val="ListNumber"/>
      </w:pPr>
      <w:r>
        <w:t>Crear database/migrations/001_initial.sql.</w:t>
      </w:r>
    </w:p>
    <w:p>
      <w:pPr>
        <w:pStyle w:val="ListNumber"/>
      </w:pPr>
      <w:r>
        <w:t>Inicializar SQLite con PRAGMA foreign_keys = ON y modo WAL.</w:t>
      </w:r>
    </w:p>
    <w:p>
      <w:pPr>
        <w:pStyle w:val="ListNumber"/>
      </w:pPr>
      <w:r>
        <w:t>Crear js/api-client.js con modo localStorage/API configurable.</w:t>
      </w:r>
    </w:p>
    <w:p>
      <w:pPr>
        <w:pStyle w:val="ListNumber"/>
      </w:pPr>
      <w:r>
        <w:t>Mostrar estado de base de datos en Diagnóstico.</w:t>
      </w:r>
    </w:p>
    <w:p>
      <w:pPr>
        <w:pStyle w:val="ListNumber"/>
      </w:pPr>
      <w:r>
        <w:t>No migrar todavía ventas reales; usar datos de prueba.</w:t>
      </w:r>
    </w:p>
    <w:p>
      <w:pPr>
        <w:pStyle w:val="ListNumber"/>
      </w:pPr>
      <w:r>
        <w:t>Entregar script de instalación y reversión.</w:t>
      </w:r>
    </w:p>
    <w:p>
      <w:pPr>
        <w:pStyle w:val="Heading1"/>
      </w:pPr>
      <w:r>
        <w:t>13. Decisiones abiertas</w:t>
      </w:r>
    </w:p>
    <w:p>
      <w:r>
        <w:t>Antes de cerrar v4.0.0 deberán confirmarse: empaquetado como aplicación de escritorio o ejecución mediante Live Server + servicio local; política exacta de folios; manejo de impuestos; múltiples almacenes; y si una venta puede tener varios métodos de pago. Estas decisiones afectan el esquema y no deben improvisarse durante la migración.</w:t>
      </w:r>
    </w:p>
    <w:p>
      <w:pPr>
        <w:pStyle w:val="Heading1"/>
      </w:pPr>
      <w:r>
        <w:t>14. Conclusión</w:t>
      </w:r>
    </w:p>
    <w:p>
      <w:r>
        <w:t>La ruta más segura es evolucionar PS Deals sin reescribir la interfaz ni migrar todos los módulos al mismo tiempo. La capa API permite sustituir localStorage de forma gradual, probar cada conjunto de datos y volver temporalmente al respaldo estable. v3.9.1 queda como punto de restauración oficial; v4.0 debe construirse en una rama independiente hasta superar la conciliación completa.</w:t>
      </w:r>
    </w:p>
    <w:sectPr w:rsidR="00FC693F" w:rsidRPr="0006063C" w:rsidSect="00034616">
      <w:headerReference w:type="default" r:id="rId10"/>
      <w:footerReference w:type="default" r:id="rId11"/>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Documento maestro de arquitectura | PS Deals v3.9.1 LTS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PS Deals - Blueprint v4.0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563E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E40A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F17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E293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