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DJ RESIDENCY AGREEMENT / HỢP ĐỒNG BIỂU DIỄN DJ</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No./Số: DJR-20260205-9759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Date/Ngày: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10 February 2026 /  10 tháng 2 năm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This Agreement is made between / Hợp đồng này được lập giữa: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Bên A </w:t>
        <w:tab/>
        <w:t xml:space="preserve">: </w:t>
        <w:tab/>
        <w:tab/>
        <w:tab/>
        <w:tab/>
        <w:t xml:space="preserve">CÔNG TY TNHH INSENSE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Party A</w:t>
        <w:tab/>
        <w:t xml:space="preserve"> :</w:t>
        <w:tab/>
        <w:tab/>
        <w:tab/>
        <w:t xml:space="preserve"> Insense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 (Address): </w:t>
        <w:tab/>
        <w:tab/>
        <w:tab/>
        <w:t xml:space="preserve">Tầng 7,60 Nguyễn Văn Thủ,Phường Tân Định,Hồ Chí Minh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số thuế (Tax code): </w:t>
        <w:tab/>
        <w:tab/>
        <w:t xml:space="preserve">0108958239</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ngân hàng (Bank name): </w:t>
        <w:tab/>
        <w:tab/>
        <w:t xml:space="preserve">ASIA COMMERCIAL BANK (ACB)</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tài khoản (Account Nr.): </w:t>
        <w:tab/>
        <w:tab/>
        <w:t xml:space="preserve">566996881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diện bởi (Represented by): </w:t>
        <w:tab/>
        <w:t xml:space="preserve">PATRICK SEGAREL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 / Chức vụ: </w:t>
        <w:tab/>
        <w:tab/>
        <w:tab/>
        <w:t xml:space="preserve">Director/ Giám đốc</w:t>
        <w:tab/>
        <w:tab/>
        <w:tab/>
        <w:tab/>
        <w:tab/>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tab/>
        <w:tab/>
        <w:tab/>
        <w:tab/>
        <w:tab/>
        <w:t xml:space="preserve">patrick@insense.vn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number: </w:t>
        <w:tab/>
        <w:tab/>
        <w:tab/>
        <w:t xml:space="preserve">+84 (0) 37 7920 759</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Bên B : </w:t>
        <w:tab/>
        <w:tab/>
        <w:tab/>
        <w:tab/>
        <w:t xml:space="preserve">CÔNG TY TNHH BLUSH HỘI AN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Party B : </w:t>
        <w:tab/>
        <w:tab/>
        <w:tab/>
        <w:tab/>
        <w:t xml:space="preserve">CÔNG TY TNHH BLUSH HỘI 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 (Address): </w:t>
        <w:tab/>
        <w:tab/>
        <w:tab/>
        <w:t xml:space="preserve"> Hà Quảng Bắc, Phường Điện Bàn Đông, Thành phố Đà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Nẵng, Việt Nam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số thuế (Tax code): </w:t>
        <w:tab/>
        <w:tab/>
        <w:t xml:space="preserve">4001023215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Đại diện bởi (Represented by): </w:t>
        <w:tab/>
        <w:t xml:space="preserve">TỐNG THU ANH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 / Chức vụ: </w:t>
        <w:tab/>
        <w:tab/>
        <w:tab/>
        <w:t xml:space="preserve">Director/ Giám đốc</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ARTICLE 1: CONTRACT SCOPE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1: NỘI DUNG HỢP ĐỒNG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of Work / Phạm vi công việc:</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Party A agrees to provide and Party B agrees to contract a DJ residency service for </w:t>
      </w:r>
      <w:r w:rsidDel="00000000" w:rsidR="00000000" w:rsidRPr="00000000">
        <w:rPr>
          <w:rtl w:val="0"/>
        </w:rPr>
        <w:t xml:space="preserve">four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months from 10 Feb 2026 to 09 </w:t>
      </w:r>
      <w:r w:rsidDel="00000000" w:rsidR="00000000" w:rsidRPr="00000000">
        <w:rPr>
          <w:rtl w:val="0"/>
        </w:rPr>
        <w:t xml:space="preserve">June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Service includes professional DJ performances for selected weekend days per week (i.e. on Saturday and Sunday) at the operating address of Party B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performance shall last four (4) hours, split into two (2) sets. In case the Venue is reserved for any private event during weekends within the term of this Agreement, Party A shall provide the Service on specific dates instead which shall be agreed by the Parties upon before the start of each month or the Venue is booked as noticed by Party B.</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Bên A đồng ý cung cấp và Bên B đồng ý thuê dịch vụ DJ cư trú trong </w:t>
      </w:r>
      <w:r w:rsidDel="00000000" w:rsidR="00000000" w:rsidRPr="00000000">
        <w:rPr>
          <w:rtl w:val="0"/>
        </w:rPr>
        <w:t xml:space="preserve">bốn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tháng từ ngày 10 tháng 02 năm 2026 đến 09 tháng 0</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năm 2026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Dịch Vụ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Dịch Vụ bao gồm các buổi biểu diễn DJ chuyên nghiệp vào các ngày cuối tuần mỗi tuần (cụ thể là Thứ Bảy và Chủ Nhật) tại địa điểm hoạt động của Bên 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Địa Điểm Biểu Diễn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buổi biểu diễn kéo dài bốn (4) giờ, chia thành hai (2) phần. Trường hợp Địa Điểm Biểu Diễn được bao đặt cho các sự kiện riêng vào bất kỳ ngày cuối tuần nào trong suốt thời hạn của Hợp Đồng này, thì Bên A sẽ phải cung cấp Dịch Vụ bù vào ngày cụ thể khác được các Bên thống nhất trước khi bắt đầu mỗi tháng hoặc ngay khi Địa Điểm Biểu Diễn được bao đặt theo thông báo của Bên B.</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ARTICLE 2: COMPENSATION AND PAYMENT TERMS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2: THÙ LAO VÀ PHƯƠNG THỨC THANH TOÁN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Fee / Mức thù lao: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remuneration for each performance slot (4 hours) is 4.000.000 ₫ VND (four million Vietnamese Dong), excluding VAT.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thù lao cho mỗi suất biểu diễn (4 giờ) là 4.000.000 ₫ VND (bốn triệu đồng Việt Nam), chưa bao gồm thuế GTGT.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Schedule / Lịch thanh toán: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Payments shall be made on a monthly basis upon receipt of a valid tax invoice issued by Party A.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Thanh toán được thực hiện hàng tháng sau khi nhận được hóa đơn hợp lệ do Bên A phát hành.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 3: RESPONSIBILITIES OF PARTIES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3: TRÁCH NHIỆM CỦA CÁC BÊN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 of Party A / Trách nhiệm của Bên 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professional DJ services with a full set of DJ equipment needed as per the agreed schedule.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the DJ arrives on time and delivers high-quality performances.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tax invoices in a timely manner.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Cung cấp dịch vụ DJ chuyên nghiệp với bộ dụng cụ DJ cần thiết theo lịch trình đã thỏa thuận.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DJ có mặt đúng giờ và trình diễn chất lượng cao.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Xuất hóa đơn thuế đúng hạn.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 of Party B / Trách nhiệm của Bên B:</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suitable performance venue and necessary equipment (as agreed).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timely payment as per the terms of this Agreement.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Cung cấp địa điểm biểu diễn phù hợp và thiết bị cần thiết (như thỏa thuận).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Thanh toán đúng hạn theo các điều khoản của hợp đồng này.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ARTICLE 4: CONTRACT TERMINATION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4: CHẤM DỨT HỢP ĐỒNG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np40vx2h9klp"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This Agreement may be terminated by either Party with a 7-day written notice. Hợp đồng này có thể bị chấm dứt bởi một trong hai Bên với thông báo bằng văn bản trước 7 ngày.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If Party B fails to make payments as per the Agreement, Party A reserves the right to suspend services until full payment is received. Nếu Bên B không thanh toán theo hợp đồng, Bên A có quyền tạm ngừng dịch vụ cho đến khi nhận được đầy đủ thanh toán.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ARTICLE 5: GOVERNING LAW &amp; DISPUTE RESOLUTION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5: LUẬT ÁP DỤNG &amp; GIẢI QUYẾT TRANH CHẤP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This Agreement shall be governed by and construed in accordance with the laws of Vietnam.</w:t>
        <w:br w:type="textWrapping"/>
        <w:t xml:space="preserve">Hợp đồng này được điều chỉnh và giải thích theo pháp luật Việt Nam.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Any disputes arising from or relating to this Agreement shall be resolved amicably. If no resolution is reached, the dispute shall be settled in a competent court in Vietnam.</w:t>
        <w:br w:type="textWrapping"/>
        <w:t xml:space="preserve">Mọi tranh chấp phát sinh từ hoặc liên quan đến hợp đồng này sẽ được giải quyết thông qua thương lượng. Nếu không đạt được thỏa thuận, tranh chấp sẽ được giải quyết tại tòa án có thẩm quyền tại Việt Nam.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WITNESS WHEREOF, the Parties hereto have executed this Agreement as of the date first written above.</w:t>
        <w:br w:type="textWrapping"/>
        <w:t xml:space="preserve">CÁC BÊN ĐÃ KÝ KẾT HỢP ĐỒNG NÀY VÀO NGÀY GHI TRÊN.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PARTY A / BÊN A                                                                      PARTY B / BÊN B       </w:t>
        <w:br w:type="textWrapping"/>
        <w:t xml:space="preserve">CÔNG TY TNHH INSENSE                                       CÔNG TY TNHH BLUSH HỘI 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Authorized Representative / Đại diện hợp pháp:       Authorized Representative / Đại diện hợp pháp: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PATRICK SEGAREL                                                                   TỐNG THU ANH</w:t>
        <w:br w:type="textWrapping"/>
        <w:t xml:space="preserve">Title / Chức vụ:Director                                                            Title / Chức vụ: Giám đốc</w:t>
        <w:br w:type="textWrapping"/>
        <w:t xml:space="preserve">Date / Ngày:                                                                                      Date / Ngày: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sectPr>
      <w:headerReference r:id="rId7" w:type="default"/>
      <w:footerReference r:id="rId8" w:type="default"/>
      <w:pgSz w:h="16840" w:w="11900"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12"/>
      </w:tabs>
      <w:spacing w:after="0" w:before="0" w:line="240" w:lineRule="auto"/>
      <w:ind w:left="0" w:right="0" w:firstLine="0"/>
      <w:jc w:val="left"/>
      <w:rPr>
        <w:rFonts w:ascii="Helvetica Neue" w:cs="Helvetica Neue" w:eastAsia="Helvetica Neue" w:hAnsi="Helvetica Neue"/>
        <w:b w:val="0"/>
        <w:bCs w:val="0"/>
        <w:i w:val="1"/>
        <w:iCs w:val="1"/>
        <w:smallCaps w:val="0"/>
        <w:strike w:val="0"/>
        <w:color w:val="535353"/>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535353"/>
        <w:sz w:val="20"/>
        <w:szCs w:val="20"/>
        <w:u w:val="none"/>
        <w:shd w:fill="auto" w:val="clear"/>
        <w:vertAlign w:val="baseline"/>
        <w:rtl w:val="0"/>
      </w:rPr>
      <w:t xml:space="preserve">_____________________________________________________________________________________________</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12"/>
      </w:tabs>
      <w:spacing w:after="0" w:before="0" w:line="240" w:lineRule="auto"/>
      <w:ind w:left="0" w:right="0" w:firstLine="0"/>
      <w:jc w:val="left"/>
      <w:rPr>
        <w:rFonts w:ascii="Helvetica Neue" w:cs="Helvetica Neue" w:eastAsia="Helvetica Neue" w:hAnsi="Helvetica Neue"/>
        <w:b w:val="0"/>
        <w:bCs w:val="0"/>
        <w:i w:val="1"/>
        <w:iCs w:val="1"/>
        <w:smallCaps w:val="0"/>
        <w:strike w:val="0"/>
        <w:color w:val="535353"/>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535353"/>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1"/>
        <w:iCs w:val="1"/>
        <w:smallCaps w:val="0"/>
        <w:strike w:val="0"/>
        <w:color w:val="535353"/>
        <w:sz w:val="18"/>
        <w:szCs w:val="18"/>
        <w:u w:val="none"/>
        <w:shd w:fill="auto" w:val="clear"/>
        <w:vertAlign w:val="baseline"/>
        <w:rtl w:val="0"/>
      </w:rPr>
      <w:t xml:space="preserve">Insense | Hợp đồng số/Contract No.: DJR-20260205-9759</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12"/>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535353"/>
        <w:sz w:val="18"/>
        <w:szCs w:val="18"/>
        <w:u w:val="none"/>
        <w:shd w:fill="auto" w:val="clear"/>
        <w:vertAlign w:val="baseline"/>
        <w:rtl w:val="0"/>
      </w:rPr>
      <w:t xml:space="preserve">Date/Ngày: 21 February 2026 /  21 tháng 2 năm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venir" w:cs="Avenir" w:eastAsia="Avenir" w:hAnsi="Avenir"/>
        <w:b w:val="0"/>
        <w:bCs w:val="0"/>
        <w:i w:val="0"/>
        <w:iCs w:val="0"/>
        <w:smallCaps w:val="0"/>
        <w:strike w:val="0"/>
        <w:shd w:fill="auto" w:val="clear"/>
        <w:vertAlign w:val="baseline"/>
      </w:rPr>
    </w:lvl>
    <w:lvl w:ilvl="1">
      <w:start w:val="1"/>
      <w:numFmt w:val="bullet"/>
      <w:lvlText w:val="•"/>
      <w:lvlJc w:val="left"/>
      <w:pPr>
        <w:ind w:left="1080" w:hanging="360"/>
      </w:pPr>
      <w:rPr>
        <w:rFonts w:ascii="Avenir" w:cs="Avenir" w:eastAsia="Avenir" w:hAnsi="Avenir"/>
        <w:b w:val="0"/>
        <w:bCs w:val="0"/>
        <w:i w:val="0"/>
        <w:iCs w:val="0"/>
        <w:smallCaps w:val="0"/>
        <w:strike w:val="0"/>
        <w:shd w:fill="auto" w:val="clear"/>
        <w:vertAlign w:val="baseline"/>
      </w:rPr>
    </w:lvl>
    <w:lvl w:ilvl="2">
      <w:start w:val="1"/>
      <w:numFmt w:val="bullet"/>
      <w:lvlText w:val="•"/>
      <w:lvlJc w:val="left"/>
      <w:pPr>
        <w:ind w:left="1800" w:hanging="360"/>
      </w:pPr>
      <w:rPr>
        <w:rFonts w:ascii="Avenir" w:cs="Avenir" w:eastAsia="Avenir" w:hAnsi="Avenir"/>
        <w:b w:val="0"/>
        <w:bCs w:val="0"/>
        <w:i w:val="0"/>
        <w:iCs w:val="0"/>
        <w:smallCaps w:val="0"/>
        <w:strike w:val="0"/>
        <w:shd w:fill="auto" w:val="clear"/>
        <w:vertAlign w:val="baseline"/>
      </w:rPr>
    </w:lvl>
    <w:lvl w:ilvl="3">
      <w:start w:val="1"/>
      <w:numFmt w:val="bullet"/>
      <w:lvlText w:val="•"/>
      <w:lvlJc w:val="left"/>
      <w:pPr>
        <w:ind w:left="2520" w:hanging="360"/>
      </w:pPr>
      <w:rPr>
        <w:rFonts w:ascii="Avenir" w:cs="Avenir" w:eastAsia="Avenir" w:hAnsi="Avenir"/>
        <w:b w:val="0"/>
        <w:bCs w:val="0"/>
        <w:i w:val="0"/>
        <w:iCs w:val="0"/>
        <w:smallCaps w:val="0"/>
        <w:strike w:val="0"/>
        <w:shd w:fill="auto" w:val="clear"/>
        <w:vertAlign w:val="baseline"/>
      </w:rPr>
    </w:lvl>
    <w:lvl w:ilvl="4">
      <w:start w:val="1"/>
      <w:numFmt w:val="bullet"/>
      <w:lvlText w:val="•"/>
      <w:lvlJc w:val="left"/>
      <w:pPr>
        <w:ind w:left="3240" w:hanging="360"/>
      </w:pPr>
      <w:rPr>
        <w:rFonts w:ascii="Avenir" w:cs="Avenir" w:eastAsia="Avenir" w:hAnsi="Avenir"/>
        <w:b w:val="0"/>
        <w:bCs w:val="0"/>
        <w:i w:val="0"/>
        <w:iCs w:val="0"/>
        <w:smallCaps w:val="0"/>
        <w:strike w:val="0"/>
        <w:shd w:fill="auto" w:val="clear"/>
        <w:vertAlign w:val="baseline"/>
      </w:rPr>
    </w:lvl>
    <w:lvl w:ilvl="5">
      <w:start w:val="1"/>
      <w:numFmt w:val="bullet"/>
      <w:lvlText w:val="•"/>
      <w:lvlJc w:val="left"/>
      <w:pPr>
        <w:ind w:left="3960" w:hanging="360"/>
      </w:pPr>
      <w:rPr>
        <w:rFonts w:ascii="Avenir" w:cs="Avenir" w:eastAsia="Avenir" w:hAnsi="Avenir"/>
        <w:b w:val="0"/>
        <w:bCs w:val="0"/>
        <w:i w:val="0"/>
        <w:iCs w:val="0"/>
        <w:smallCaps w:val="0"/>
        <w:strike w:val="0"/>
        <w:shd w:fill="auto" w:val="clear"/>
        <w:vertAlign w:val="baseline"/>
      </w:rPr>
    </w:lvl>
    <w:lvl w:ilvl="6">
      <w:start w:val="1"/>
      <w:numFmt w:val="bullet"/>
      <w:lvlText w:val="•"/>
      <w:lvlJc w:val="left"/>
      <w:pPr>
        <w:ind w:left="4680" w:hanging="360"/>
      </w:pPr>
      <w:rPr>
        <w:rFonts w:ascii="Avenir" w:cs="Avenir" w:eastAsia="Avenir" w:hAnsi="Avenir"/>
        <w:b w:val="0"/>
        <w:bCs w:val="0"/>
        <w:i w:val="0"/>
        <w:iCs w:val="0"/>
        <w:smallCaps w:val="0"/>
        <w:strike w:val="0"/>
        <w:shd w:fill="auto" w:val="clear"/>
        <w:vertAlign w:val="baseline"/>
      </w:rPr>
    </w:lvl>
    <w:lvl w:ilvl="7">
      <w:start w:val="1"/>
      <w:numFmt w:val="bullet"/>
      <w:lvlText w:val="•"/>
      <w:lvlJc w:val="left"/>
      <w:pPr>
        <w:ind w:left="5400" w:hanging="360"/>
      </w:pPr>
      <w:rPr>
        <w:rFonts w:ascii="Avenir" w:cs="Avenir" w:eastAsia="Avenir" w:hAnsi="Avenir"/>
        <w:b w:val="0"/>
        <w:bCs w:val="0"/>
        <w:i w:val="0"/>
        <w:iCs w:val="0"/>
        <w:smallCaps w:val="0"/>
        <w:strike w:val="0"/>
        <w:shd w:fill="auto" w:val="clear"/>
        <w:vertAlign w:val="baseline"/>
      </w:rPr>
    </w:lvl>
    <w:lvl w:ilvl="8">
      <w:start w:val="1"/>
      <w:numFmt w:val="bullet"/>
      <w:lvlText w:val="•"/>
      <w:lvlJc w:val="left"/>
      <w:pPr>
        <w:ind w:left="6120" w:hanging="360"/>
      </w:pPr>
      <w:rPr>
        <w:rFonts w:ascii="Avenir" w:cs="Avenir" w:eastAsia="Avenir" w:hAnsi="Avenir"/>
        <w:b w:val="0"/>
        <w:bCs w:val="0"/>
        <w:i w:val="0"/>
        <w:iCs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mDF/oTappcKWolAsmTm+v/oTw==">CgMxLjAyDmgubnA0MHZ4Mmg5a2xwOAByITE5VElTVnRVcHUzbUkzUlhrOHB0VHZMd0dtQjM5N0lsNw==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