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softHyphen/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Preliminary Results, Mario's Master Thesis, 1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5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.0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9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.2025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Independent variables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- Probe-to-Target Similarity (PTS; Nachfolgende Analysen beziehen sich vorerst ausschließlich auf PTS=Same-Trials)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- Queried Item Position (QIP: "P 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=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T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1</w:t>
      </w:r>
      <w:r>
        <w:rPr>
          <w:rFonts w:cs="Times New Roman" w:ascii="Times New Roman" w:hAnsi="Times New Roman"/>
          <w:sz w:val="22"/>
          <w:szCs w:val="22"/>
          <w:lang w:val="en-US"/>
        </w:rPr>
        <w:t>?" vs. "P = T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2</w:t>
      </w:r>
      <w:r>
        <w:rPr>
          <w:rFonts w:cs="Times New Roman" w:ascii="Times New Roman" w:hAnsi="Times New Roman"/>
          <w:sz w:val="22"/>
          <w:szCs w:val="22"/>
          <w:lang w:val="en-US"/>
        </w:rPr>
        <w:t>?", visual probe, comparison; Gerne auch eine andere Bezeichnung; Analysen beziehen sich nur auf die zwei genannten question prompts, die Analysen zu den beiden anderen, "P!=T1?" vs. "P!=T2?", stehen noch aus.)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- Target Position (TP: 1 vs. 2; tactile stimulus, encoding)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- Accessory Stimulus Position (ASP: 1 vs. 2; auditory stimulus, encoding)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- Target-to-Nontarget Similarity (TNS: low vs. high; tactile stimulus, encoding)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Dependent variable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-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(c) =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correct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) -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error</w:t>
      </w:r>
      <w:r>
        <w:rPr>
          <w:rFonts w:cs="Times New Roman" w:ascii="Times New Roman" w:hAnsi="Times New Roman"/>
          <w:sz w:val="22"/>
          <w:szCs w:val="22"/>
          <w:lang w:val="en-US"/>
        </w:rPr>
        <w:t>).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Table 1. Results of the repeated-measures ANOVA</w:t>
      </w:r>
    </w:p>
    <w:tbl>
      <w:tblPr>
        <w:tblStyle w:val="Tabellenraster"/>
        <w:tblW w:w="63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7"/>
        <w:gridCol w:w="1242"/>
        <w:gridCol w:w="876"/>
        <w:gridCol w:w="877"/>
        <w:gridCol w:w="931"/>
      </w:tblGrid>
      <w:tr>
        <w:trPr/>
        <w:tc>
          <w:tcPr>
            <w:tcW w:w="24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926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Parameters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Model</w:t>
            </w: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df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F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MSE</w:t>
            </w:r>
          </w:p>
        </w:tc>
        <w:tc>
          <w:tcPr>
            <w:tcW w:w="93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246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TP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8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084</w:t>
            </w:r>
          </w:p>
        </w:tc>
        <w:tc>
          <w:tcPr>
            <w:tcW w:w="8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693</w:t>
            </w:r>
          </w:p>
        </w:tc>
        <w:tc>
          <w:tcPr>
            <w:tcW w:w="93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056*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ASP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041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841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TNS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.009**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QIP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1.9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.11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.169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TP × ASP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938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112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060~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TP ×TNS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152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021*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ASP × TNS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451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19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509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TP × QIP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910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875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.000***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ASP × QIP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0.000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995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QIP × TNS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47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TP × QIP</w:t>
            </w: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 xml:space="preserve"> × TNS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5.9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916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00***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 xml:space="preserve">TP × </w:t>
            </w: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 xml:space="preserve">QIP × </w:t>
            </w: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ASP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06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75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ASP × QIP × TNS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027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871</w:t>
            </w:r>
          </w:p>
        </w:tc>
      </w:tr>
      <w:tr>
        <w:trPr/>
        <w:tc>
          <w:tcPr>
            <w:tcW w:w="246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TP × ASP × QIP × TNS</w:t>
            </w: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1,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176</w:t>
            </w:r>
          </w:p>
        </w:tc>
        <w:tc>
          <w:tcPr>
            <w:tcW w:w="876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0.0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35</w:t>
            </w:r>
          </w:p>
        </w:tc>
        <w:tc>
          <w:tcPr>
            <w:tcW w:w="877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.00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852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iCs/>
          <w:sz w:val="22"/>
          <w:szCs w:val="22"/>
          <w:lang w:val="en-US"/>
        </w:rPr>
      </w:pP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Note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.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TP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Target Position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,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 xml:space="preserve">ASP 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=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Accessory Stimulus Position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,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TNS = Target-to-Nontarget Similarity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,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QIP = Queried Item Position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;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MSE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Mean Sum of Squared Errors; p = Level of significance.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2"/>
          <w:szCs w:val="22"/>
          <w:lang w:val="en-US"/>
        </w:rPr>
      </w:pP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 xml:space="preserve">R </w:t>
      </w:r>
      <w:r>
        <w:rPr>
          <w:rFonts w:cs="Times New Roman" w:ascii="Times New Roman" w:hAnsi="Times New Roman"/>
          <w:sz w:val="22"/>
          <w:szCs w:val="22"/>
          <w:lang w:val="en-US"/>
        </w:rPr>
        <w:t>comment for running regression model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: p</w:t>
      </w:r>
      <w:r>
        <w:rPr>
          <w:rFonts w:cs="Times New Roman" w:ascii="Times New Roman" w:hAnsi="Times New Roman"/>
          <w:sz w:val="22"/>
          <w:szCs w:val="22"/>
          <w:lang w:val="en-US"/>
        </w:rPr>
        <w:t>_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 xml:space="preserve">c 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~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TP</w:t>
      </w:r>
      <w:r>
        <w:rPr>
          <w:rFonts w:cs="Times New Roman" w:ascii="Times New Roman" w:hAnsi="Times New Roman"/>
          <w:sz w:val="22"/>
          <w:szCs w:val="22"/>
          <w:lang w:val="en-US"/>
        </w:rPr>
        <w:t>*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ASP</w:t>
      </w:r>
      <w:r>
        <w:rPr>
          <w:rFonts w:cs="Times New Roman" w:ascii="Times New Roman" w:hAnsi="Times New Roman"/>
          <w:sz w:val="22"/>
          <w:szCs w:val="22"/>
          <w:lang w:val="en-US"/>
        </w:rPr>
        <w:t>*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TNS</w:t>
      </w:r>
      <w:r>
        <w:rPr>
          <w:rFonts w:cs="Times New Roman" w:ascii="Times New Roman" w:hAnsi="Times New Roman"/>
          <w:sz w:val="22"/>
          <w:szCs w:val="22"/>
          <w:lang w:val="en-US"/>
        </w:rPr>
        <w:t>*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 xml:space="preserve">QIP 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+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Error</w:t>
      </w: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 xml:space="preserve">participant </w:t>
      </w:r>
      <w:r>
        <w:rPr>
          <w:rFonts w:cs="Times New Roman" w:ascii="Times New Roman" w:hAnsi="Times New Roman"/>
          <w:sz w:val="22"/>
          <w:szCs w:val="22"/>
          <w:lang w:val="en-US"/>
        </w:rPr>
        <w:t>/ 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TP</w:t>
      </w:r>
      <w:r>
        <w:rPr>
          <w:rFonts w:cs="Times New Roman" w:ascii="Times New Roman" w:hAnsi="Times New Roman"/>
          <w:sz w:val="22"/>
          <w:szCs w:val="22"/>
          <w:lang w:val="en-US"/>
        </w:rPr>
        <w:t>*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ASP</w:t>
      </w:r>
      <w:r>
        <w:rPr>
          <w:rFonts w:cs="Times New Roman" w:ascii="Times New Roman" w:hAnsi="Times New Roman"/>
          <w:sz w:val="22"/>
          <w:szCs w:val="22"/>
          <w:lang w:val="en-US"/>
        </w:rPr>
        <w:t>*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TNS</w:t>
      </w:r>
      <w:r>
        <w:rPr>
          <w:rFonts w:cs="Times New Roman" w:ascii="Times New Roman" w:hAnsi="Times New Roman"/>
          <w:sz w:val="22"/>
          <w:szCs w:val="22"/>
          <w:lang w:val="en-US"/>
        </w:rPr>
        <w:t>*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QIP</w:t>
      </w:r>
      <w:r>
        <w:rPr>
          <w:rFonts w:cs="Times New Roman" w:ascii="Times New Roman" w:hAnsi="Times New Roman"/>
          <w:sz w:val="22"/>
          <w:szCs w:val="22"/>
          <w:lang w:val="en-US"/>
        </w:rPr>
        <w:t>))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Table 1. Means (and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SD</w:t>
      </w:r>
      <w:r>
        <w:rPr>
          <w:rFonts w:ascii="Liberation Serif" w:hAnsi="Liberation Serif"/>
          <w:b/>
          <w:bCs/>
          <w:sz w:val="22"/>
          <w:szCs w:val="22"/>
        </w:rPr>
        <w:t xml:space="preserve">s) for (error-corrected) percent correct, p(c), </w:t>
      </w:r>
      <w:r>
        <w:rPr>
          <w:rFonts w:ascii="Liberation Serif" w:hAnsi="Liberation Serif"/>
          <w:b/>
          <w:bCs/>
          <w:sz w:val="22"/>
          <w:szCs w:val="22"/>
        </w:rPr>
        <w:t xml:space="preserve">under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Target Position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sz w:val="22"/>
          <w:szCs w:val="22"/>
        </w:rPr>
        <w:t>= 1 vs. 2</w:t>
      </w:r>
      <w:r>
        <w:rPr>
          <w:rFonts w:ascii="Liberation Serif" w:hAnsi="Liberation Serif"/>
          <w:b/>
          <w:bCs/>
          <w:sz w:val="22"/>
          <w:szCs w:val="22"/>
        </w:rPr>
        <w:t>:</w:t>
      </w:r>
    </w:p>
    <w:p>
      <w:pPr>
        <w:pStyle w:val="Normal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.63 (.38), .72 (.31)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Table </w:t>
      </w:r>
      <w:r>
        <w:rPr>
          <w:rFonts w:ascii="Liberation Serif" w:hAnsi="Liberation Serif"/>
          <w:b/>
          <w:bCs/>
          <w:sz w:val="22"/>
          <w:szCs w:val="22"/>
        </w:rPr>
        <w:t>2</w:t>
      </w:r>
      <w:r>
        <w:rPr>
          <w:rFonts w:ascii="Liberation Serif" w:hAnsi="Liberation Serif"/>
          <w:b/>
          <w:bCs/>
          <w:sz w:val="22"/>
          <w:szCs w:val="22"/>
        </w:rPr>
        <w:t xml:space="preserve">. Means (and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SD</w:t>
      </w:r>
      <w:r>
        <w:rPr>
          <w:rFonts w:ascii="Liberation Serif" w:hAnsi="Liberation Serif"/>
          <w:b/>
          <w:bCs/>
          <w:sz w:val="22"/>
          <w:szCs w:val="22"/>
        </w:rPr>
        <w:t xml:space="preserve">s) for (error-corrected) percent correct, p(c), </w:t>
      </w:r>
      <w:r>
        <w:rPr>
          <w:rFonts w:ascii="Liberation Serif" w:hAnsi="Liberation Serif"/>
          <w:b/>
          <w:bCs/>
          <w:sz w:val="22"/>
          <w:szCs w:val="22"/>
        </w:rPr>
        <w:t xml:space="preserve">under 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T</w:t>
      </w:r>
      <w:r>
        <w:rPr>
          <w:rFonts w:ascii="Liberation Serif" w:hAnsi="Liberation Serif"/>
          <w:b/>
          <w:bCs/>
          <w:i/>
          <w:iCs/>
          <w:sz w:val="22"/>
          <w:szCs w:val="22"/>
        </w:rPr>
        <w:t>NS</w:t>
      </w:r>
      <w:r>
        <w:rPr>
          <w:rFonts w:ascii="Liberation Serif" w:hAnsi="Liberation Serif"/>
          <w:b/>
          <w:bCs/>
          <w:sz w:val="22"/>
          <w:szCs w:val="22"/>
        </w:rPr>
        <w:t xml:space="preserve"> </w:t>
      </w:r>
      <w:r>
        <w:rPr>
          <w:rFonts w:ascii="Liberation Serif" w:hAnsi="Liberation Serif"/>
          <w:b/>
          <w:bCs/>
          <w:sz w:val="22"/>
          <w:szCs w:val="22"/>
        </w:rPr>
        <w:t>= low vs. high</w:t>
      </w:r>
      <w:r>
        <w:rPr>
          <w:rFonts w:ascii="Liberation Serif" w:hAnsi="Liberation Serif"/>
          <w:b/>
          <w:bCs/>
          <w:sz w:val="22"/>
          <w:szCs w:val="22"/>
        </w:rPr>
        <w:t>:</w:t>
      </w:r>
    </w:p>
    <w:p>
      <w:pPr>
        <w:pStyle w:val="Normal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 w:val="false"/>
          <w:bCs w:val="false"/>
          <w:sz w:val="22"/>
          <w:szCs w:val="22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</w:rPr>
        <w:t>.76 (.28), .59 (.39)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Table 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3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. Means (and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SD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s) for (error-corrected) percent correct, p(c), 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when cross-tabulating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Target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Accessory Stimulus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: </w:t>
      </w:r>
    </w:p>
    <w:tbl>
      <w:tblPr>
        <w:tblStyle w:val="Tabellenraster"/>
        <w:tblW w:w="56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6"/>
        <w:gridCol w:w="2062"/>
        <w:gridCol w:w="1732"/>
      </w:tblGrid>
      <w:tr>
        <w:trPr/>
        <w:tc>
          <w:tcPr>
            <w:tcW w:w="18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9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Accessory Stimulus Position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Target Position</w:t>
            </w:r>
          </w:p>
        </w:tc>
        <w:tc>
          <w:tcPr>
            <w:tcW w:w="20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6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62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73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65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4)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74 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73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Note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.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c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) =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correct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)-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error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Table 1. Means (and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SD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s) for (error-corrected) percent correct, p(c), underlying the significant 2-way interaction between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Target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Queried Item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: </w:t>
      </w:r>
    </w:p>
    <w:tbl>
      <w:tblPr>
        <w:tblStyle w:val="Tabellenraster"/>
        <w:tblW w:w="56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76"/>
        <w:gridCol w:w="2062"/>
        <w:gridCol w:w="1732"/>
      </w:tblGrid>
      <w:tr>
        <w:trPr/>
        <w:tc>
          <w:tcPr>
            <w:tcW w:w="18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79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Queried Item Position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Target Position</w:t>
            </w:r>
          </w:p>
        </w:tc>
        <w:tc>
          <w:tcPr>
            <w:tcW w:w="20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3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6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70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73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.5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(.44)</w:t>
            </w:r>
          </w:p>
        </w:tc>
      </w:tr>
      <w:tr>
        <w:trPr/>
        <w:tc>
          <w:tcPr>
            <w:tcW w:w="18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(.3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73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9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Note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.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c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) = 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correct</w:t>
      </w:r>
      <w:r>
        <w:rPr>
          <w:rFonts w:cs="Times New Roman" w:ascii="Times New Roman" w:hAnsi="Times New Roman"/>
          <w:sz w:val="22"/>
          <w:szCs w:val="22"/>
          <w:lang w:val="en-US"/>
        </w:rPr>
        <w:t>)-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i/>
          <w:iCs/>
          <w:sz w:val="22"/>
          <w:szCs w:val="22"/>
          <w:lang w:val="en-US"/>
        </w:rPr>
        <w:t>error</w:t>
      </w:r>
      <w:r>
        <w:rPr>
          <w:rFonts w:cs="Times New Roman" w:ascii="Times New Roman" w:hAnsi="Times New Roman"/>
          <w:sz w:val="22"/>
          <w:szCs w:val="22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Table 2. Descriptives on the significant 3-way interaction between Target Position (TP), Queried Item Position and Target-to-Nontarget Similarity (TNS) with respect to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(c) =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correct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) -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error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>)</w:t>
      </w:r>
    </w:p>
    <w:tbl>
      <w:tblPr>
        <w:tblStyle w:val="Tabellenraster"/>
        <w:tblW w:w="7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58"/>
        <w:gridCol w:w="1878"/>
        <w:gridCol w:w="2061"/>
        <w:gridCol w:w="1812"/>
      </w:tblGrid>
      <w:tr>
        <w:trPr/>
        <w:tc>
          <w:tcPr>
            <w:tcW w:w="125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Means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(and </w:t>
            </w:r>
            <w:r>
              <w:rPr>
                <w:rFonts w:eastAsia="Aptos" w:cs="Times New Roman" w:ascii="Times New Roman" w:hAnsi="Times New Roman"/>
                <w:i/>
                <w:iCs/>
                <w:kern w:val="2"/>
                <w:sz w:val="22"/>
                <w:szCs w:val="22"/>
                <w:lang w:val="en-US" w:eastAsia="en-US" w:bidi="ar-SA"/>
              </w:rPr>
              <w:t>SD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s)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1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QIP</w:t>
            </w:r>
          </w:p>
        </w:tc>
      </w:tr>
      <w:tr>
        <w:trPr/>
        <w:tc>
          <w:tcPr>
            <w:tcW w:w="125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TP</w:t>
            </w:r>
          </w:p>
        </w:tc>
        <w:tc>
          <w:tcPr>
            <w:tcW w:w="2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81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25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TNS=low</w:t>
            </w:r>
          </w:p>
        </w:tc>
        <w:tc>
          <w:tcPr>
            <w:tcW w:w="187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6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81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(.2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TNS=high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ptos"/>
                <w:b w:val="false"/>
                <w:b w:val="false"/>
                <w:bCs w:val="false"/>
                <w:kern w:val="2"/>
                <w:lang w:eastAsia="en-US" w:bidi="ar-SA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.6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(.3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ptos"/>
                <w:b w:val="false"/>
                <w:b w:val="false"/>
                <w:bCs w:val="false"/>
                <w:kern w:val="2"/>
                <w:lang w:eastAsia="en-US" w:bidi="ar-SA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.4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(.4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6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  <w:tr>
        <w:trPr/>
        <w:tc>
          <w:tcPr>
            <w:tcW w:w="125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ptos"/>
                <w:b w:val="false"/>
                <w:b w:val="false"/>
                <w:bCs w:val="false"/>
                <w:kern w:val="2"/>
                <w:lang w:eastAsia="en-US" w:bidi="ar-SA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50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40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  <w:tc>
          <w:tcPr>
            <w:tcW w:w="181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Aptos"/>
                <w:b w:val="false"/>
                <w:b w:val="false"/>
                <w:bCs w:val="false"/>
                <w:kern w:val="2"/>
                <w:lang w:eastAsia="en-US" w:bidi="ar-SA"/>
              </w:rPr>
            </w:pP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81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 xml:space="preserve"> (.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22</w:t>
            </w:r>
            <w:r>
              <w:rPr>
                <w:rFonts w:eastAsia="Aptos" w:cs="Times New Roman" w:ascii="Times New Roman" w:hAnsi="Times New Roman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2"/>
          <w:szCs w:val="22"/>
          <w:lang w:val="en-US"/>
        </w:rPr>
      </w:pP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Table 3.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(c) under all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TP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Target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) ×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ASP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Accessory Stimulus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) ×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QIP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Queried Item Position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) × 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TNS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 (</w:t>
      </w:r>
      <w:r>
        <w:rPr>
          <w:rFonts w:cs="Times New Roman" w:ascii="Times New Roman" w:hAnsi="Times New Roman"/>
          <w:b/>
          <w:bCs/>
          <w:i/>
          <w:iCs/>
          <w:sz w:val="22"/>
          <w:szCs w:val="22"/>
          <w:lang w:val="en-US"/>
        </w:rPr>
        <w:t>Target-to-Nontarget Similarity</w:t>
      </w:r>
      <w:r>
        <w:rPr>
          <w:rFonts w:cs="Times New Roman" w:ascii="Times New Roman" w:hAnsi="Times New Roman"/>
          <w:b/>
          <w:bCs/>
          <w:sz w:val="22"/>
          <w:szCs w:val="22"/>
          <w:lang w:val="en-US"/>
        </w:rPr>
        <w:t xml:space="preserve">) experimental conditions / combinations </w:t>
      </w:r>
    </w:p>
    <w:tbl>
      <w:tblPr>
        <w:tblStyle w:val="Tabellenraster"/>
        <w:tblW w:w="80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8"/>
        <w:gridCol w:w="1443"/>
        <w:gridCol w:w="1339"/>
        <w:gridCol w:w="1426"/>
        <w:gridCol w:w="1408"/>
        <w:gridCol w:w="1139"/>
      </w:tblGrid>
      <w:tr>
        <w:trPr/>
        <w:tc>
          <w:tcPr>
            <w:tcW w:w="13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b/>
                <w:bCs/>
                <w:i/>
                <w:iCs/>
                <w:kern w:val="2"/>
                <w:sz w:val="22"/>
                <w:szCs w:val="22"/>
                <w:lang w:val="en-US" w:eastAsia="en-US" w:bidi="ar-SA"/>
              </w:rPr>
              <w:t>TP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ASP</w:t>
            </w:r>
          </w:p>
        </w:tc>
        <w:tc>
          <w:tcPr>
            <w:tcW w:w="133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QIP</w:t>
            </w:r>
          </w:p>
        </w:tc>
        <w:tc>
          <w:tcPr>
            <w:tcW w:w="1426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b/>
                <w:bCs/>
                <w:kern w:val="2"/>
                <w:sz w:val="22"/>
                <w:szCs w:val="22"/>
                <w:lang w:val="en-US" w:eastAsia="en-US" w:bidi="ar-SA"/>
              </w:rPr>
              <w:t>TNS</w:t>
            </w:r>
          </w:p>
        </w:tc>
        <w:tc>
          <w:tcPr>
            <w:tcW w:w="140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b/>
                <w:bCs/>
                <w:i/>
                <w:iCs/>
                <w:kern w:val="2"/>
                <w:sz w:val="22"/>
                <w:szCs w:val="22"/>
                <w:lang w:val="en-US" w:eastAsia="en-US" w:bidi="ar-SA"/>
              </w:rPr>
              <w:t>Mean p(c)</w: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b/>
                <w:bCs/>
                <w:i/>
                <w:iCs/>
                <w:kern w:val="2"/>
                <w:sz w:val="22"/>
                <w:szCs w:val="22"/>
                <w:lang w:val="en-US" w:eastAsia="en-US" w:bidi="ar-SA"/>
              </w:rPr>
              <w:t>SD p(c)</w:t>
            </w:r>
          </w:p>
        </w:tc>
      </w:tr>
      <w:tr>
        <w:trPr/>
        <w:tc>
          <w:tcPr>
            <w:tcW w:w="13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62</w:t>
            </w:r>
          </w:p>
        </w:tc>
        <w:tc>
          <w:tcPr>
            <w:tcW w:w="113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.5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.6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.4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.4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.4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20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.41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.48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24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.3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31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24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.26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37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.7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34</w:t>
            </w:r>
          </w:p>
        </w:tc>
      </w:tr>
      <w:tr>
        <w:trPr/>
        <w:tc>
          <w:tcPr>
            <w:tcW w:w="13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40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.8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.1</w:t>
            </w:r>
            <w:r>
              <w:rPr>
                <w:rFonts w:eastAsia="Aptos" w:cs="Times New Roman" w:ascii="Times New Roman" w:hAnsi="Times New Roman"/>
                <w:kern w:val="2"/>
                <w:sz w:val="22"/>
                <w:szCs w:val="22"/>
                <w:lang w:val="en-US" w:eastAsia="en-US" w:bidi="ar-SA"/>
              </w:rPr>
              <w:t>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de-AT" w:eastAsia="en-US" w:bidi="ar-SA"/>
      <w14:ligatures w14:val="standardContextual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945c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Berschrift2">
    <w:name w:val="Heading 2"/>
    <w:basedOn w:val="Normal"/>
    <w:next w:val="Normal"/>
    <w:link w:val="Berschrift2Zchn"/>
    <w:uiPriority w:val="9"/>
    <w:semiHidden/>
    <w:unhideWhenUsed/>
    <w:qFormat/>
    <w:rsid w:val="00945c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Berschrift3">
    <w:name w:val="Heading 3"/>
    <w:basedOn w:val="Normal"/>
    <w:next w:val="Normal"/>
    <w:link w:val="Berschrift3Zchn"/>
    <w:uiPriority w:val="9"/>
    <w:semiHidden/>
    <w:unhideWhenUsed/>
    <w:qFormat/>
    <w:rsid w:val="00945c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Berschrift4">
    <w:name w:val="Heading 4"/>
    <w:basedOn w:val="Normal"/>
    <w:next w:val="Normal"/>
    <w:link w:val="Berschrift4Zchn"/>
    <w:uiPriority w:val="9"/>
    <w:semiHidden/>
    <w:unhideWhenUsed/>
    <w:qFormat/>
    <w:rsid w:val="00945c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Berschrift5">
    <w:name w:val="Heading 5"/>
    <w:basedOn w:val="Normal"/>
    <w:next w:val="Normal"/>
    <w:link w:val="Berschrift5Zchn"/>
    <w:uiPriority w:val="9"/>
    <w:semiHidden/>
    <w:unhideWhenUsed/>
    <w:qFormat/>
    <w:rsid w:val="00945c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Berschrift6">
    <w:name w:val="Heading 6"/>
    <w:basedOn w:val="Normal"/>
    <w:next w:val="Normal"/>
    <w:link w:val="Berschrift6Zchn"/>
    <w:uiPriority w:val="9"/>
    <w:semiHidden/>
    <w:unhideWhenUsed/>
    <w:qFormat/>
    <w:rsid w:val="00945c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Berschrift7">
    <w:name w:val="Heading 7"/>
    <w:basedOn w:val="Normal"/>
    <w:next w:val="Normal"/>
    <w:link w:val="Berschrift7Zchn"/>
    <w:uiPriority w:val="9"/>
    <w:semiHidden/>
    <w:unhideWhenUsed/>
    <w:qFormat/>
    <w:rsid w:val="00945c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Berschrift8">
    <w:name w:val="Heading 8"/>
    <w:basedOn w:val="Normal"/>
    <w:next w:val="Normal"/>
    <w:link w:val="Berschrift8Zchn"/>
    <w:uiPriority w:val="9"/>
    <w:semiHidden/>
    <w:unhideWhenUsed/>
    <w:qFormat/>
    <w:rsid w:val="00945c70"/>
    <w:pPr>
      <w:keepNext w:val="true"/>
      <w:keepLines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Berschrift9">
    <w:name w:val="Heading 9"/>
    <w:basedOn w:val="Normal"/>
    <w:next w:val="Normal"/>
    <w:link w:val="Berschrift9Zchn"/>
    <w:uiPriority w:val="9"/>
    <w:semiHidden/>
    <w:unhideWhenUsed/>
    <w:qFormat/>
    <w:rsid w:val="00945c70"/>
    <w:pPr>
      <w:keepNext w:val="true"/>
      <w:keepLines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945c7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945c7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945c7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945c70"/>
    <w:rPr>
      <w:rFonts w:eastAsia="" w:cs="" w:cstheme="majorBidi" w:eastAsiaTheme="majorEastAsia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945c70"/>
    <w:rPr>
      <w:rFonts w:eastAsia="" w:cs="" w:cstheme="majorBidi" w:eastAsiaTheme="majorEastAsia"/>
      <w:color w:val="0F4761" w:themeColor="accent1" w:themeShade="bf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945c70"/>
    <w:rPr>
      <w:rFonts w:eastAsia="" w:cs="" w:cstheme="majorBidi" w:eastAsiaTheme="majorEastAsia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945c70"/>
    <w:rPr>
      <w:rFonts w:eastAsia="" w:cs="" w:cstheme="majorBidi" w:eastAsiaTheme="majorEastAsia"/>
      <w:color w:val="595959" w:themeColor="text1" w:themeTint="a6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945c70"/>
    <w:rPr>
      <w:rFonts w:eastAsia="" w:cs="" w:cstheme="majorBidi" w:eastAsiaTheme="majorEastAsia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945c70"/>
    <w:rPr>
      <w:rFonts w:eastAsia="" w:cs="" w:cstheme="majorBidi" w:eastAsiaTheme="majorEastAsia"/>
      <w:color w:val="272727" w:themeColor="text1" w:themeTint="d8"/>
    </w:rPr>
  </w:style>
  <w:style w:type="character" w:styleId="TitelZchn" w:customStyle="1">
    <w:name w:val="Titel Zchn"/>
    <w:basedOn w:val="DefaultParagraphFont"/>
    <w:uiPriority w:val="10"/>
    <w:qFormat/>
    <w:rsid w:val="00945c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945c7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945c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5c70"/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945c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c70"/>
    <w:rPr>
      <w:b/>
      <w:bCs/>
      <w:smallCaps/>
      <w:color w:val="0F4761" w:themeColor="accent1" w:themeShade="bf"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elZchn"/>
    <w:uiPriority w:val="10"/>
    <w:qFormat/>
    <w:rsid w:val="00945c70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Untertitel">
    <w:name w:val="Subtitle"/>
    <w:basedOn w:val="Normal"/>
    <w:next w:val="Normal"/>
    <w:link w:val="UntertitelZchn"/>
    <w:uiPriority w:val="11"/>
    <w:qFormat/>
    <w:rsid w:val="00945c70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945c7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c70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945c7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45c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LibreOffice/7.4.7.2$Linux_AARCH64 LibreOffice_project/40$Build-2</Application>
  <AppVersion>15.0000</AppVersion>
  <Pages>2</Pages>
  <Words>566</Words>
  <Characters>2618</Characters>
  <CharactersWithSpaces>2949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2025-07-15T13:21:00Z</dcterms:created>
  <dc:creator>Paul Seitlinger</dc:creator>
  <dc:description/>
  <dc:language>de-AT</dc:language>
  <cp:lastModifiedBy/>
  <dcterms:modified xsi:type="dcterms:W3CDTF">2025-09-15T14:25:00Z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