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05692F" w14:textId="77777777" w:rsidR="00B82E2A" w:rsidRDefault="00375ECC">
      <w:pPr>
        <w:spacing w:before="56"/>
        <w:ind w:left="1989"/>
        <w:rPr>
          <w:sz w:val="48"/>
        </w:rPr>
      </w:pPr>
      <w:r>
        <w:rPr>
          <w:sz w:val="48"/>
        </w:rPr>
        <w:t>Strategies for Physician Engagement</w:t>
      </w:r>
    </w:p>
    <w:p w14:paraId="5CA0E26D" w14:textId="77777777" w:rsidR="00B82E2A" w:rsidRDefault="00375ECC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302" w:line="276" w:lineRule="auto"/>
        <w:ind w:hanging="360"/>
        <w:rPr>
          <w:sz w:val="28"/>
        </w:rPr>
      </w:pPr>
      <w:r>
        <w:rPr>
          <w:sz w:val="28"/>
        </w:rPr>
        <w:t>Involve physicians as much as possible in planning, education, and implementation; include physicians (e.g., hospitalists, urologists, hospital epidemiologists, and infectious disease physicians) on your</w:t>
      </w:r>
      <w:r>
        <w:rPr>
          <w:spacing w:val="-14"/>
          <w:sz w:val="28"/>
        </w:rPr>
        <w:t xml:space="preserve"> </w:t>
      </w:r>
      <w:r>
        <w:rPr>
          <w:sz w:val="28"/>
        </w:rPr>
        <w:t>team.</w:t>
      </w:r>
    </w:p>
    <w:p w14:paraId="231B4BD6" w14:textId="77777777" w:rsidR="00B82E2A" w:rsidRDefault="00B82E2A">
      <w:pPr>
        <w:pStyle w:val="BodyText"/>
        <w:rPr>
          <w:sz w:val="34"/>
        </w:rPr>
      </w:pPr>
    </w:p>
    <w:p w14:paraId="69391B38" w14:textId="77777777" w:rsidR="00B82E2A" w:rsidRDefault="00375ECC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line="276" w:lineRule="auto"/>
        <w:ind w:right="409" w:hanging="360"/>
        <w:rPr>
          <w:sz w:val="28"/>
        </w:rPr>
      </w:pPr>
      <w:r>
        <w:rPr>
          <w:sz w:val="28"/>
        </w:rPr>
        <w:t>Garner support of medical leadership, e.g., chief of staff, chief medical officer.</w:t>
      </w:r>
    </w:p>
    <w:p w14:paraId="4ED62250" w14:textId="77777777" w:rsidR="00B82E2A" w:rsidRDefault="00B82E2A">
      <w:pPr>
        <w:pStyle w:val="BodyText"/>
        <w:spacing w:before="9"/>
        <w:rPr>
          <w:sz w:val="33"/>
        </w:rPr>
      </w:pPr>
    </w:p>
    <w:p w14:paraId="07EF3148" w14:textId="77777777" w:rsidR="00B82E2A" w:rsidRDefault="00375ECC">
      <w:pPr>
        <w:pStyle w:val="ListParagraph"/>
        <w:numPr>
          <w:ilvl w:val="0"/>
          <w:numId w:val="1"/>
        </w:numPr>
        <w:tabs>
          <w:tab w:val="left" w:pos="1621"/>
          <w:tab w:val="left" w:pos="1622"/>
        </w:tabs>
        <w:spacing w:line="278" w:lineRule="auto"/>
        <w:ind w:right="905" w:hanging="360"/>
        <w:rPr>
          <w:sz w:val="28"/>
        </w:rPr>
      </w:pPr>
      <w:r>
        <w:rPr>
          <w:sz w:val="28"/>
        </w:rPr>
        <w:t>Have the physician champion meet with physicians to get them on board.</w:t>
      </w:r>
    </w:p>
    <w:p w14:paraId="7E423EF1" w14:textId="77777777" w:rsidR="00B82E2A" w:rsidRDefault="00B82E2A">
      <w:pPr>
        <w:pStyle w:val="BodyText"/>
        <w:spacing w:before="6"/>
        <w:rPr>
          <w:sz w:val="33"/>
        </w:rPr>
      </w:pPr>
    </w:p>
    <w:p w14:paraId="4E758EB3" w14:textId="77777777" w:rsidR="00B82E2A" w:rsidRDefault="00375ECC">
      <w:pPr>
        <w:pStyle w:val="ListParagraph"/>
        <w:numPr>
          <w:ilvl w:val="0"/>
          <w:numId w:val="1"/>
        </w:numPr>
        <w:tabs>
          <w:tab w:val="left" w:pos="1621"/>
          <w:tab w:val="left" w:pos="1622"/>
        </w:tabs>
        <w:spacing w:line="276" w:lineRule="auto"/>
        <w:ind w:left="1621" w:right="520" w:hanging="360"/>
        <w:rPr>
          <w:sz w:val="28"/>
        </w:rPr>
      </w:pPr>
      <w:r>
        <w:rPr>
          <w:sz w:val="28"/>
        </w:rPr>
        <w:t xml:space="preserve">Conduct education on, for example, </w:t>
      </w:r>
      <w:r>
        <w:rPr>
          <w:spacing w:val="-2"/>
          <w:sz w:val="28"/>
        </w:rPr>
        <w:t xml:space="preserve">CMS </w:t>
      </w:r>
      <w:r>
        <w:rPr>
          <w:sz w:val="28"/>
        </w:rPr>
        <w:t>rule changes, proper indications, evidence supporting reducin</w:t>
      </w:r>
      <w:r>
        <w:rPr>
          <w:sz w:val="28"/>
        </w:rPr>
        <w:t>g catheter use, evidence that physicians are often not aware that a patient has a</w:t>
      </w:r>
      <w:r>
        <w:rPr>
          <w:spacing w:val="-16"/>
          <w:sz w:val="28"/>
        </w:rPr>
        <w:t xml:space="preserve"> </w:t>
      </w:r>
      <w:r>
        <w:rPr>
          <w:sz w:val="28"/>
        </w:rPr>
        <w:t>catheter.</w:t>
      </w:r>
    </w:p>
    <w:p w14:paraId="0EF03947" w14:textId="77777777" w:rsidR="00B82E2A" w:rsidRDefault="00B82E2A">
      <w:pPr>
        <w:pStyle w:val="BodyText"/>
        <w:spacing w:before="1"/>
        <w:rPr>
          <w:sz w:val="32"/>
        </w:rPr>
      </w:pPr>
    </w:p>
    <w:p w14:paraId="30D220E0" w14:textId="77777777" w:rsidR="00B82E2A" w:rsidRPr="00375ECC" w:rsidRDefault="00375ECC" w:rsidP="00375ECC">
      <w:pPr>
        <w:pStyle w:val="BodyText"/>
        <w:numPr>
          <w:ilvl w:val="1"/>
          <w:numId w:val="2"/>
        </w:numPr>
        <w:spacing w:before="1" w:line="271" w:lineRule="auto"/>
        <w:ind w:right="11"/>
        <w:rPr>
          <w:b/>
        </w:rPr>
      </w:pPr>
      <w:r>
        <w:t>Education can be conducted through, for example, presentation in staff meetings by the physicia</w:t>
      </w:r>
      <w:bookmarkStart w:id="0" w:name="_GoBack"/>
      <w:bookmarkEnd w:id="0"/>
      <w:r>
        <w:t>n champion and nurse managers, CME’s, one-on-one, and through prin</w:t>
      </w:r>
      <w:r>
        <w:t xml:space="preserve">ted and electronic materials such as pocket cards, flyers, or a newsletter. </w:t>
      </w:r>
      <w:r w:rsidRPr="00375ECC">
        <w:t xml:space="preserve">Go to </w:t>
      </w:r>
      <w:hyperlink r:id="rId5" w:history="1">
        <w:r w:rsidRPr="00375ECC">
          <w:rPr>
            <w:rStyle w:val="Hyperlink"/>
            <w:b/>
          </w:rPr>
          <w:t>Resources</w:t>
        </w:r>
      </w:hyperlink>
      <w:r w:rsidRPr="00375ECC">
        <w:t xml:space="preserve">, then </w:t>
      </w:r>
      <w:r w:rsidRPr="00375ECC">
        <w:rPr>
          <w:b/>
        </w:rPr>
        <w:t>Educational Tools (tab) &gt; Fliers and Pocket Cards</w:t>
      </w:r>
      <w:r>
        <w:rPr>
          <w:b/>
        </w:rPr>
        <w:t>.</w:t>
      </w:r>
    </w:p>
    <w:p w14:paraId="0844012D" w14:textId="77777777" w:rsidR="00B82E2A" w:rsidRDefault="00B82E2A">
      <w:pPr>
        <w:pStyle w:val="BodyText"/>
        <w:spacing w:before="4"/>
        <w:rPr>
          <w:i/>
          <w:sz w:val="34"/>
        </w:rPr>
      </w:pPr>
    </w:p>
    <w:p w14:paraId="33EDDFFC" w14:textId="77777777" w:rsidR="00B82E2A" w:rsidRDefault="00375ECC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1" w:line="276" w:lineRule="auto"/>
        <w:ind w:right="579" w:hanging="360"/>
        <w:rPr>
          <w:sz w:val="28"/>
        </w:rPr>
      </w:pPr>
      <w:r>
        <w:rPr>
          <w:sz w:val="28"/>
        </w:rPr>
        <w:t>Periodically post catheter prevalence and CAUTI rates in a physician venue.</w:t>
      </w:r>
    </w:p>
    <w:p w14:paraId="47B688B5" w14:textId="77777777" w:rsidR="00B82E2A" w:rsidRDefault="00B82E2A">
      <w:pPr>
        <w:pStyle w:val="BodyText"/>
        <w:spacing w:before="1"/>
        <w:rPr>
          <w:sz w:val="34"/>
        </w:rPr>
      </w:pPr>
    </w:p>
    <w:p w14:paraId="40A77081" w14:textId="77777777" w:rsidR="00B82E2A" w:rsidRDefault="00375ECC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line="276" w:lineRule="auto"/>
        <w:ind w:right="726" w:hanging="360"/>
        <w:rPr>
          <w:sz w:val="28"/>
        </w:rPr>
      </w:pPr>
      <w:r>
        <w:rPr>
          <w:sz w:val="28"/>
        </w:rPr>
        <w:t>If you are part of a large health care system, influence and</w:t>
      </w:r>
      <w:r>
        <w:rPr>
          <w:spacing w:val="-20"/>
          <w:sz w:val="28"/>
        </w:rPr>
        <w:t xml:space="preserve"> </w:t>
      </w:r>
      <w:r>
        <w:rPr>
          <w:sz w:val="28"/>
        </w:rPr>
        <w:t>leverage system policies on physician</w:t>
      </w:r>
      <w:r>
        <w:rPr>
          <w:spacing w:val="-7"/>
          <w:sz w:val="28"/>
        </w:rPr>
        <w:t xml:space="preserve"> </w:t>
      </w:r>
      <w:r>
        <w:rPr>
          <w:sz w:val="28"/>
        </w:rPr>
        <w:t>practices.</w:t>
      </w:r>
    </w:p>
    <w:p w14:paraId="7293DC27" w14:textId="77777777" w:rsidR="00B82E2A" w:rsidRDefault="00B82E2A">
      <w:pPr>
        <w:pStyle w:val="BodyText"/>
        <w:rPr>
          <w:sz w:val="34"/>
        </w:rPr>
      </w:pPr>
    </w:p>
    <w:p w14:paraId="2D71B576" w14:textId="77777777" w:rsidR="00B82E2A" w:rsidRDefault="00375ECC">
      <w:pPr>
        <w:pStyle w:val="ListParagraph"/>
        <w:numPr>
          <w:ilvl w:val="0"/>
          <w:numId w:val="1"/>
        </w:numPr>
        <w:tabs>
          <w:tab w:val="left" w:pos="1621"/>
          <w:tab w:val="left" w:pos="1622"/>
        </w:tabs>
        <w:spacing w:line="276" w:lineRule="auto"/>
        <w:ind w:left="1621" w:right="176"/>
        <w:rPr>
          <w:sz w:val="28"/>
        </w:rPr>
      </w:pPr>
      <w:r>
        <w:rPr>
          <w:sz w:val="28"/>
        </w:rPr>
        <w:t>Physicians-in-training, physician assistants, and nurse practitioners may also play a key role in catheter-associated urinary tract infection-related activities, depending on the hospital and the unit; thus,</w:t>
      </w:r>
      <w:r>
        <w:rPr>
          <w:sz w:val="28"/>
        </w:rPr>
        <w:t xml:space="preserve"> the above strategies may also apply to these inpatient care</w:t>
      </w:r>
      <w:r>
        <w:rPr>
          <w:spacing w:val="-15"/>
          <w:sz w:val="28"/>
        </w:rPr>
        <w:t xml:space="preserve"> </w:t>
      </w:r>
      <w:r>
        <w:rPr>
          <w:sz w:val="28"/>
        </w:rPr>
        <w:t>providers.</w:t>
      </w:r>
    </w:p>
    <w:p w14:paraId="7E4B3BEA" w14:textId="77777777" w:rsidR="00B82E2A" w:rsidRDefault="00B82E2A">
      <w:pPr>
        <w:pStyle w:val="BodyText"/>
        <w:rPr>
          <w:sz w:val="30"/>
        </w:rPr>
      </w:pPr>
    </w:p>
    <w:p w14:paraId="27468E39" w14:textId="77777777" w:rsidR="00B82E2A" w:rsidRDefault="00B82E2A">
      <w:pPr>
        <w:pStyle w:val="BodyText"/>
        <w:rPr>
          <w:sz w:val="30"/>
        </w:rPr>
      </w:pPr>
    </w:p>
    <w:p w14:paraId="58CAF141" w14:textId="77777777" w:rsidR="00B82E2A" w:rsidRDefault="00B82E2A">
      <w:pPr>
        <w:pStyle w:val="BodyText"/>
        <w:rPr>
          <w:sz w:val="30"/>
        </w:rPr>
      </w:pPr>
    </w:p>
    <w:p w14:paraId="7C962E90" w14:textId="77777777" w:rsidR="00B82E2A" w:rsidRDefault="00375ECC">
      <w:pPr>
        <w:spacing w:before="234"/>
        <w:ind w:left="107"/>
        <w:rPr>
          <w:sz w:val="35"/>
        </w:rPr>
      </w:pPr>
      <w:r>
        <w:rPr>
          <w:sz w:val="35"/>
        </w:rPr>
        <w:t xml:space="preserve">Downloaded from </w:t>
      </w:r>
      <w:hyperlink r:id="rId6">
        <w:r>
          <w:rPr>
            <w:sz w:val="35"/>
          </w:rPr>
          <w:t>www.catheterout.org</w:t>
        </w:r>
      </w:hyperlink>
    </w:p>
    <w:sectPr w:rsidR="00B82E2A">
      <w:type w:val="continuous"/>
      <w:pgSz w:w="12240" w:h="15840"/>
      <w:pgMar w:top="1380" w:right="134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8459A2"/>
    <w:multiLevelType w:val="hybridMultilevel"/>
    <w:tmpl w:val="CC348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AA16FE"/>
    <w:multiLevelType w:val="hybridMultilevel"/>
    <w:tmpl w:val="A4DC3318"/>
    <w:lvl w:ilvl="0" w:tplc="89422BD4">
      <w:numFmt w:val="bullet"/>
      <w:lvlText w:val="•"/>
      <w:lvlJc w:val="left"/>
      <w:pPr>
        <w:ind w:left="1620" w:hanging="361"/>
      </w:pPr>
      <w:rPr>
        <w:rFonts w:ascii="Arial" w:eastAsia="Arial" w:hAnsi="Arial" w:cs="Arial" w:hint="default"/>
        <w:w w:val="131"/>
        <w:sz w:val="28"/>
        <w:szCs w:val="28"/>
      </w:rPr>
    </w:lvl>
    <w:lvl w:ilvl="1" w:tplc="E1B20EFA">
      <w:numFmt w:val="bullet"/>
      <w:lvlText w:val="•"/>
      <w:lvlJc w:val="left"/>
      <w:pPr>
        <w:ind w:left="2340" w:hanging="361"/>
      </w:pPr>
      <w:rPr>
        <w:rFonts w:hint="default"/>
      </w:rPr>
    </w:lvl>
    <w:lvl w:ilvl="2" w:tplc="D9529D0C">
      <w:numFmt w:val="bullet"/>
      <w:lvlText w:val="•"/>
      <w:lvlJc w:val="left"/>
      <w:pPr>
        <w:ind w:left="3271" w:hanging="361"/>
      </w:pPr>
      <w:rPr>
        <w:rFonts w:hint="default"/>
      </w:rPr>
    </w:lvl>
    <w:lvl w:ilvl="3" w:tplc="5CDCC92A">
      <w:numFmt w:val="bullet"/>
      <w:lvlText w:val="•"/>
      <w:lvlJc w:val="left"/>
      <w:pPr>
        <w:ind w:left="4202" w:hanging="361"/>
      </w:pPr>
      <w:rPr>
        <w:rFonts w:hint="default"/>
      </w:rPr>
    </w:lvl>
    <w:lvl w:ilvl="4" w:tplc="F24E28F4">
      <w:numFmt w:val="bullet"/>
      <w:lvlText w:val="•"/>
      <w:lvlJc w:val="left"/>
      <w:pPr>
        <w:ind w:left="5133" w:hanging="361"/>
      </w:pPr>
      <w:rPr>
        <w:rFonts w:hint="default"/>
      </w:rPr>
    </w:lvl>
    <w:lvl w:ilvl="5" w:tplc="655279FE">
      <w:numFmt w:val="bullet"/>
      <w:lvlText w:val="•"/>
      <w:lvlJc w:val="left"/>
      <w:pPr>
        <w:ind w:left="6064" w:hanging="361"/>
      </w:pPr>
      <w:rPr>
        <w:rFonts w:hint="default"/>
      </w:rPr>
    </w:lvl>
    <w:lvl w:ilvl="6" w:tplc="A2506FAA">
      <w:numFmt w:val="bullet"/>
      <w:lvlText w:val="•"/>
      <w:lvlJc w:val="left"/>
      <w:pPr>
        <w:ind w:left="6995" w:hanging="361"/>
      </w:pPr>
      <w:rPr>
        <w:rFonts w:hint="default"/>
      </w:rPr>
    </w:lvl>
    <w:lvl w:ilvl="7" w:tplc="4A6A2336">
      <w:numFmt w:val="bullet"/>
      <w:lvlText w:val="•"/>
      <w:lvlJc w:val="left"/>
      <w:pPr>
        <w:ind w:left="7926" w:hanging="361"/>
      </w:pPr>
      <w:rPr>
        <w:rFonts w:hint="default"/>
      </w:rPr>
    </w:lvl>
    <w:lvl w:ilvl="8" w:tplc="1C60FB48">
      <w:numFmt w:val="bullet"/>
      <w:lvlText w:val="•"/>
      <w:lvlJc w:val="left"/>
      <w:pPr>
        <w:ind w:left="8857" w:hanging="361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82E2A"/>
    <w:rsid w:val="00375ECC"/>
    <w:rsid w:val="00B8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B6A7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620" w:right="1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75E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atheterout.org/resources.html" TargetMode="External"/><Relationship Id="rId6" Type="http://schemas.openxmlformats.org/officeDocument/2006/relationships/hyperlink" Target="http://www.catheterout.org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226</Words>
  <Characters>1289</Characters>
  <Application>Microsoft Macintosh Word</Application>
  <DocSecurity>0</DocSecurity>
  <Lines>10</Lines>
  <Paragraphs>3</Paragraphs>
  <ScaleCrop>false</ScaleCrop>
  <Company>University of Michigan</Company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vhaannleesd</dc:creator>
  <cp:lastModifiedBy>Jason Engle</cp:lastModifiedBy>
  <cp:revision>2</cp:revision>
  <dcterms:created xsi:type="dcterms:W3CDTF">2017-10-18T10:08:00Z</dcterms:created>
  <dcterms:modified xsi:type="dcterms:W3CDTF">2017-10-18T14:12:00Z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2011-03-01T00:00:00Z</vt:filetime>
  </property>
  <property fmtid="{D5CDD505-2E9C-101B-9397-08002B2CF9AE}" pid="3" name="Creator">
    <vt:lpwstr>Acrobat PDFMaker 9.1 for Word</vt:lpwstr>
  </property>
  <property fmtid="{D5CDD505-2E9C-101B-9397-08002B2CF9AE}" pid="4" name="LastSaved">
    <vt:filetime>2017-10-18T00:00:00Z</vt:filetime>
  </property>
</Properties>
</file>