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B38E" w14:textId="77777777" w:rsidR="009468E4" w:rsidRPr="009468E4" w:rsidRDefault="009468E4" w:rsidP="00D427A6">
      <w:pPr>
        <w:pStyle w:val="Title"/>
        <w:rPr>
          <w:rFonts w:eastAsia="Times New Roman"/>
        </w:rPr>
      </w:pPr>
      <w:r w:rsidRPr="009468E4">
        <w:rPr>
          <w:rFonts w:eastAsia="Times New Roman"/>
        </w:rPr>
        <w:t>Business Analytics: Assignment 2</w:t>
      </w:r>
    </w:p>
    <w:p w14:paraId="561DB392" w14:textId="57B5C88E" w:rsidR="009468E4" w:rsidRPr="00877933" w:rsidRDefault="00F632A7" w:rsidP="00D427A6">
      <w:pPr>
        <w:pStyle w:val="Subtitle"/>
        <w:rPr>
          <w:rFonts w:eastAsia="Times New Roman"/>
          <w:b/>
          <w:bCs/>
          <w:color w:val="5B9BD5" w:themeColor="accent1"/>
        </w:rPr>
      </w:pPr>
      <w:r w:rsidRPr="00877933">
        <w:rPr>
          <w:rFonts w:eastAsia="Times New Roman"/>
          <w:b/>
          <w:bCs/>
          <w:color w:val="5B9BD5" w:themeColor="accent1"/>
        </w:rPr>
        <w:t>Group 1</w:t>
      </w:r>
      <w:r w:rsidR="00D427A6" w:rsidRPr="00877933">
        <w:rPr>
          <w:rFonts w:eastAsia="Times New Roman"/>
          <w:b/>
          <w:bCs/>
          <w:color w:val="5B9BD5" w:themeColor="accent1"/>
        </w:rPr>
        <w:t xml:space="preserve"> – Praveen Setty</w:t>
      </w:r>
    </w:p>
    <w:p w14:paraId="561DB393" w14:textId="77777777" w:rsidR="009468E4" w:rsidRPr="009468E4" w:rsidRDefault="00877933" w:rsidP="0094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1DB3A8">
          <v:rect id="_x0000_i1025" style="width:0;height:1.5pt" o:hralign="center" o:hrstd="t" o:hrnoshade="t" o:hr="t" fillcolor="black" stroked="f"/>
        </w:pict>
      </w:r>
    </w:p>
    <w:p w14:paraId="561DB394" w14:textId="77777777" w:rsidR="009468E4" w:rsidRPr="009468E4" w:rsidRDefault="009468E4" w:rsidP="00D427A6">
      <w:pPr>
        <w:pStyle w:val="Heading1"/>
        <w:rPr>
          <w:rFonts w:eastAsia="Times New Roman"/>
        </w:rPr>
      </w:pPr>
      <w:r w:rsidRPr="009468E4">
        <w:rPr>
          <w:rFonts w:eastAsia="Times New Roman"/>
        </w:rPr>
        <w:t>Problem 1</w:t>
      </w:r>
    </w:p>
    <w:p w14:paraId="561DB396" w14:textId="77777777" w:rsidR="009468E4" w:rsidRPr="00F2596E" w:rsidRDefault="009468E4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Develop an executive summary of your market basket analysis for upper management at Rite-greens. The summary length should be 1 page (not including the appendix).</w:t>
      </w:r>
    </w:p>
    <w:p w14:paraId="561DB397" w14:textId="77777777" w:rsidR="009468E4" w:rsidRPr="00F2596E" w:rsidRDefault="009468E4" w:rsidP="00946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Be sure to justify any settings used in your analysis (e.g., support, confidence, lift ratio, etc.) and address how the results can be used by the company.</w:t>
      </w:r>
    </w:p>
    <w:p w14:paraId="561DB398" w14:textId="3C5F8D82" w:rsidR="009468E4" w:rsidRPr="00F2596E" w:rsidRDefault="009468E4" w:rsidP="00946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 xml:space="preserve">Your summary should reference an appendix containing appropriate output from </w:t>
      </w:r>
      <w:proofErr w:type="spellStart"/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XLMiner</w:t>
      </w:r>
      <w:proofErr w:type="spellEnd"/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.</w:t>
      </w:r>
    </w:p>
    <w:p w14:paraId="5ABFA664" w14:textId="7DC2BF11" w:rsidR="00973FCF" w:rsidRPr="00AB4A77" w:rsidRDefault="009F53ED" w:rsidP="004A052B">
      <w:pPr>
        <w:pStyle w:val="Heading2"/>
        <w:rPr>
          <w:rFonts w:eastAsia="Times New Roman"/>
        </w:rPr>
      </w:pPr>
      <w:r w:rsidRPr="00AB4A77">
        <w:rPr>
          <w:rFonts w:eastAsia="Times New Roman"/>
        </w:rPr>
        <w:t>Solution</w:t>
      </w:r>
    </w:p>
    <w:p w14:paraId="3328F333" w14:textId="775093F5" w:rsidR="009F53ED" w:rsidRDefault="009F53ED" w:rsidP="00973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Ran the Association rules </w:t>
      </w:r>
      <w:r w:rsidR="009512CE">
        <w:rPr>
          <w:rFonts w:ascii="Arial" w:eastAsia="Times New Roman" w:hAnsi="Arial" w:cs="Arial"/>
          <w:color w:val="000000"/>
          <w:sz w:val="22"/>
          <w:szCs w:val="22"/>
        </w:rPr>
        <w:t xml:space="preserve">for the data listed in the Binary matrix form. </w:t>
      </w:r>
      <w:r w:rsidR="00E72F67">
        <w:rPr>
          <w:rFonts w:ascii="Arial" w:eastAsia="Times New Roman" w:hAnsi="Arial" w:cs="Arial"/>
          <w:color w:val="000000"/>
          <w:sz w:val="22"/>
          <w:szCs w:val="22"/>
        </w:rPr>
        <w:t>We ran the rules in two iterations</w:t>
      </w:r>
    </w:p>
    <w:p w14:paraId="694927A5" w14:textId="47F47928" w:rsidR="00E72F67" w:rsidRDefault="00E72F67" w:rsidP="00E72F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Confidence level – 60% and </w:t>
      </w:r>
      <w:r w:rsidR="008F175F">
        <w:rPr>
          <w:rFonts w:ascii="Arial" w:eastAsia="Times New Roman" w:hAnsi="Arial" w:cs="Arial"/>
          <w:color w:val="000000"/>
          <w:sz w:val="22"/>
          <w:szCs w:val="22"/>
        </w:rPr>
        <w:t>Min Support</w:t>
      </w:r>
      <w:r w:rsidR="005E24A6"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r w:rsidR="008F175F">
        <w:rPr>
          <w:rFonts w:ascii="Arial" w:eastAsia="Times New Roman" w:hAnsi="Arial" w:cs="Arial"/>
          <w:color w:val="000000"/>
          <w:sz w:val="22"/>
          <w:szCs w:val="22"/>
        </w:rPr>
        <w:t>150</w:t>
      </w:r>
    </w:p>
    <w:tbl>
      <w:tblPr>
        <w:tblpPr w:leftFromText="180" w:rightFromText="180" w:vertAnchor="text" w:horzAnchor="margin" w:tblpY="-55"/>
        <w:tblW w:w="105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440"/>
        <w:gridCol w:w="1170"/>
        <w:gridCol w:w="2090"/>
        <w:gridCol w:w="1480"/>
      </w:tblGrid>
      <w:tr w:rsidR="008E06B9" w:rsidRPr="008E06B9" w14:paraId="54BAAC0A" w14:textId="77777777" w:rsidTr="002F2ECA">
        <w:trPr>
          <w:trHeight w:val="255"/>
        </w:trPr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A310B51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lastRenderedPageBreak/>
              <w:t>Rule ID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8C2180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A-Support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8EE2E19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C-Support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46B65FF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734DDA7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Confidence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228065E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Lift-Ratio</w:t>
            </w:r>
          </w:p>
        </w:tc>
        <w:tc>
          <w:tcPr>
            <w:tcW w:w="20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4890E8E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Antecedent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9001F39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Consequent</w:t>
            </w:r>
          </w:p>
        </w:tc>
      </w:tr>
      <w:tr w:rsidR="008E06B9" w:rsidRPr="008E06B9" w14:paraId="5045308F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866EFC6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09473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FEAD8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52E62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53900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92.85714286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EC82E3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2.60104042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A0A74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Blush,Eye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 shadow]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E3E1F5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</w:tr>
      <w:tr w:rsidR="008E06B9" w:rsidRPr="008E06B9" w14:paraId="7E6AE16C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964C3A1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B1BD9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C4573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15222A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7086CC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91.84782609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942281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2.4107041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A0A039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Blush,Mascara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D38283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</w:tr>
      <w:tr w:rsidR="008E06B9" w:rsidRPr="008E06B9" w14:paraId="2B79271F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556F593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6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41806A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C4375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A8BFC6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75F595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89.91596639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FF3D2A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2.35999912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7E4F4E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954B5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</w:tr>
      <w:tr w:rsidR="008E06B9" w:rsidRPr="008E06B9" w14:paraId="3EAB802A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1DE9F29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48CCC0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7AE94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E53208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12D00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89.05472637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AC45EB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2.49453015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732E3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Concealer,Eye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 shadow]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FC188D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</w:tr>
      <w:tr w:rsidR="008E06B9" w:rsidRPr="008E06B9" w14:paraId="7E23A6E4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460A000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E70A8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8C81F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61AF4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EF205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87.74509804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8E7638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2.30302095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FE16D2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Concealer,Mascara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62680B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</w:tr>
      <w:tr w:rsidR="008E06B9" w:rsidRPr="008E06B9" w14:paraId="53B3BA47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8C6798E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18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13218D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EF212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5D6DDF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F0DDA3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87.29281768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79648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2.29115007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1120F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Mascara,Lip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 Gloss]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12BADB5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</w:tr>
      <w:tr w:rsidR="008E06B9" w:rsidRPr="008E06B9" w14:paraId="0EDCC209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0FE1CDC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16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A5E4A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41FED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DA309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87947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86.45833333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581B4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2.26924759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1B88E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Mascara,Foundation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B5ECC9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</w:tr>
      <w:tr w:rsidR="008E06B9" w:rsidRPr="008E06B9" w14:paraId="516CCBC3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60C97AE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20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C23C1D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CFD72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A7CE33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262AE5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86.28571429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48729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2.26471691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60540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Mascara,Eyeliner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783AC1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</w:tr>
      <w:tr w:rsidR="008E06B9" w:rsidRPr="008E06B9" w14:paraId="620D1A56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5D1CB89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7A1C7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3A3B975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B0E937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3B635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84.2519685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65FD6A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2.35999912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BAA5C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 shadow]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476865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</w:tr>
      <w:tr w:rsidR="008E06B9" w:rsidRPr="008E06B9" w14:paraId="25A75211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BB847CF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21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A79F9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A3854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03CF1E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D19D19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82.96703297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28B369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2.32400653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B9644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[Eye 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shadow,Eyeliner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0486DC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</w:tr>
      <w:tr w:rsidR="008E06B9" w:rsidRPr="008E06B9" w14:paraId="5D3CD10C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F041EA2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17F92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BD3D6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E89CB5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D0D03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78.67298578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D1204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2.20372509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4D1250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[Eye 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shadow,Foundation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68591F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</w:tr>
      <w:tr w:rsidR="008E06B9" w:rsidRPr="008E06B9" w14:paraId="3DFB8EAC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12C94ED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19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59FA3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4E14A6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1F033C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6FE960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78.60696517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FCDA03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2.20187578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8867D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[Eye 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shadow,Lip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 Gloss]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204D20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[Mascara]</w:t>
            </w:r>
          </w:p>
        </w:tc>
      </w:tr>
      <w:tr w:rsidR="008E06B9" w:rsidRPr="008E06B9" w14:paraId="2B8562D9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9D34D2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00626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CC356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289EE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650DD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76.4957265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D19A1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1.73067255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12720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[Lip liner]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0AC42A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[Concealer]</w:t>
            </w:r>
          </w:p>
        </w:tc>
      </w:tr>
      <w:tr w:rsidR="008E06B9" w:rsidRPr="008E06B9" w14:paraId="3C21863C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72DED6F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9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FA838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95BC5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66789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2E35A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72.65306122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CCB25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1.35546756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E189D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[Lip Gloss]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A71003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[Foundation]</w:t>
            </w:r>
          </w:p>
        </w:tc>
      </w:tr>
      <w:tr w:rsidR="008E06B9" w:rsidRPr="008E06B9" w14:paraId="3B5B36CD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D27803D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23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6F993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5508E1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44260E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18D3EF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68.72246696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B6300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1.28213558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25E28C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 xml:space="preserve">[Lip 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Gloss,Eyeliner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14F542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[Foundation]</w:t>
            </w:r>
          </w:p>
        </w:tc>
      </w:tr>
      <w:tr w:rsidR="008E06B9" w:rsidRPr="008E06B9" w14:paraId="1B994F94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5234E2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DC396D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7EC70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A5C98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031418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67.19457014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CAB605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1.4703407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9C897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[Concealer]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15316A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[Eyeliner]</w:t>
            </w:r>
          </w:p>
        </w:tc>
      </w:tr>
      <w:tr w:rsidR="008E06B9" w:rsidRPr="008E06B9" w14:paraId="75F8B673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38E8FBE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8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F2D67F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F9E61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FDC4B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E70AD0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66.41791045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3AB75E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1.35546756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3D7293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[Foundation]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055C87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[Lip Gloss]</w:t>
            </w:r>
          </w:p>
        </w:tc>
      </w:tr>
      <w:tr w:rsidR="008E06B9" w:rsidRPr="008E06B9" w14:paraId="40F335B6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17C5A94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14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ABD14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C88981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406C2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82B37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65.8008658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2ADF9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1.43984389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D1D45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Concealer,Foundation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9CBF7E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[Eyeliner]</w:t>
            </w:r>
          </w:p>
        </w:tc>
      </w:tr>
      <w:tr w:rsidR="008E06B9" w:rsidRPr="008E06B9" w14:paraId="33891B1F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D604F33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22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CB275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B0862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D17485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3EBE4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65.54621849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162B5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1.33767793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8A87D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Foundation,Eyeliner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D8B4956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[Lip Gloss]</w:t>
            </w:r>
          </w:p>
        </w:tc>
      </w:tr>
      <w:tr w:rsidR="008E06B9" w:rsidRPr="008E06B9" w14:paraId="148FB9B8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DE2348D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5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A06D93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C80492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643CF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83A71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64.98905908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8AE3BF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1.4703407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F3FD41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[Eyeliner]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B944C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[Concealer]</w:t>
            </w:r>
          </w:p>
        </w:tc>
      </w:tr>
      <w:tr w:rsidR="008E06B9" w:rsidRPr="008E06B9" w14:paraId="24BA7965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8D48941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15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CA2726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0BD9E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B3F9E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7877547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63.86554622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2AAF485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1.44492186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734FFB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Foundation,Eyeliner</w:t>
            </w:r>
            <w:proofErr w:type="spellEnd"/>
            <w:proofErr w:type="gramEnd"/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9D03CD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[Concealer]</w:t>
            </w:r>
          </w:p>
        </w:tc>
      </w:tr>
      <w:tr w:rsidR="008E06B9" w:rsidRPr="008E06B9" w14:paraId="77D07DD6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0CFCC25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ED7609C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A23138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6DE1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DC2699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62.72401434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5A059A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1.41909535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95917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[Bronzer]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2F9E4EE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[Concealer]</w:t>
            </w:r>
          </w:p>
        </w:tc>
      </w:tr>
      <w:tr w:rsidR="008E06B9" w:rsidRPr="008E06B9" w14:paraId="16598731" w14:textId="77777777" w:rsidTr="002F2ECA">
        <w:trPr>
          <w:trHeight w:val="255"/>
        </w:trPr>
        <w:tc>
          <w:tcPr>
            <w:tcW w:w="10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47872DB" w14:textId="77777777" w:rsidR="008E06B9" w:rsidRPr="008F175F" w:rsidRDefault="008E06B9" w:rsidP="002F2ECA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b/>
                <w:bCs/>
                <w:color w:val="FFFFFF"/>
                <w:sz w:val="18"/>
                <w:szCs w:val="18"/>
              </w:rPr>
              <w:t>Rule 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BDAF5A0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0DF28F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1F4679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EDF405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60.60606061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B4F04D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1.37117784</w:t>
            </w:r>
          </w:p>
        </w:tc>
        <w:tc>
          <w:tcPr>
            <w:tcW w:w="20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737C83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[Blush]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E7C6C74" w14:textId="77777777" w:rsidR="008E06B9" w:rsidRPr="008F175F" w:rsidRDefault="008E06B9" w:rsidP="002F2ECA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</w:pPr>
            <w:r w:rsidRPr="008F175F">
              <w:rPr>
                <w:rFonts w:ascii="MS Sans Serif" w:eastAsia="Times New Roman" w:hAnsi="MS Sans Serif" w:cs="Times New Roman"/>
                <w:color w:val="000000"/>
                <w:sz w:val="18"/>
                <w:szCs w:val="18"/>
              </w:rPr>
              <w:t>[Concealer]</w:t>
            </w:r>
          </w:p>
        </w:tc>
      </w:tr>
    </w:tbl>
    <w:p w14:paraId="22201DB7" w14:textId="47343208" w:rsidR="008F175F" w:rsidRDefault="008F175F" w:rsidP="008F17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53C20B84" w14:textId="4555B664" w:rsidR="004720B4" w:rsidRDefault="005E24A6" w:rsidP="004720B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Confidence level – 60%, Min Support </w:t>
      </w:r>
      <w:r w:rsidR="004720B4">
        <w:rPr>
          <w:rFonts w:ascii="Arial" w:eastAsia="Times New Roman" w:hAnsi="Arial" w:cs="Arial"/>
          <w:color w:val="000000"/>
          <w:sz w:val="22"/>
          <w:szCs w:val="22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200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1020"/>
        <w:gridCol w:w="1280"/>
        <w:gridCol w:w="1280"/>
        <w:gridCol w:w="1080"/>
        <w:gridCol w:w="1420"/>
        <w:gridCol w:w="1273"/>
        <w:gridCol w:w="1420"/>
        <w:gridCol w:w="1460"/>
      </w:tblGrid>
      <w:tr w:rsidR="004720B4" w:rsidRPr="004720B4" w14:paraId="5A58ECDC" w14:textId="77777777" w:rsidTr="004720B4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DD1DF7E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ID</w:t>
            </w:r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777A18A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A-Support</w:t>
            </w:r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7D10E2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C-Support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FFDA190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Support</w:t>
            </w:r>
          </w:p>
        </w:tc>
        <w:tc>
          <w:tcPr>
            <w:tcW w:w="14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02C0DFE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Confidence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521ACB3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Lift-Ratio</w:t>
            </w:r>
          </w:p>
        </w:tc>
        <w:tc>
          <w:tcPr>
            <w:tcW w:w="14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7EB50A8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Antecedent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981F9CD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Consequent</w:t>
            </w:r>
          </w:p>
        </w:tc>
      </w:tr>
      <w:tr w:rsidR="004720B4" w:rsidRPr="004720B4" w14:paraId="1AAFB5D4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083A763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4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B95747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564896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32B7DD5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68717F7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89.91596639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AF326E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2.35999912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72E5551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[Mascara]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78BD67A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[Eye shadow]</w:t>
            </w:r>
          </w:p>
        </w:tc>
      </w:tr>
      <w:tr w:rsidR="004720B4" w:rsidRPr="004720B4" w14:paraId="63CC284A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1DF3FA2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5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C991DD7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1AA1D7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BF7BAF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F8ECD3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84.2519685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A2250F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2.35999912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C747216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[Eye shadow]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A499454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[Mascara]</w:t>
            </w:r>
          </w:p>
        </w:tc>
      </w:tr>
      <w:tr w:rsidR="004720B4" w:rsidRPr="004720B4" w14:paraId="2A3D977A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328D8E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7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6D3EEC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13E8BC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8D437A8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680D2F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72.65306122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2CEA629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1.35546756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CC91D75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[Lip Gloss]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A7BCB92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[Foundation]</w:t>
            </w:r>
          </w:p>
        </w:tc>
      </w:tr>
      <w:tr w:rsidR="004720B4" w:rsidRPr="004720B4" w14:paraId="610FEF53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7E8EB54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D98BE58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CB2516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5AA524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B7E4259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67.19457014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C43C3B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1.4703407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476C7E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[Concealer]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19D513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[Eyeliner]</w:t>
            </w:r>
          </w:p>
        </w:tc>
      </w:tr>
      <w:tr w:rsidR="004720B4" w:rsidRPr="004720B4" w14:paraId="77355101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B5D308C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6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C4C32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A3CBC4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CD017B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BECAD6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66.41791045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7856F3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1.35546756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BAC6EA2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[Foundation]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11D2C32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[Lip Gloss]</w:t>
            </w:r>
          </w:p>
        </w:tc>
      </w:tr>
      <w:tr w:rsidR="004720B4" w:rsidRPr="004720B4" w14:paraId="4CE1C1E2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718135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3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476B32F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C4DF41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B57789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B7A213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64.98905908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6D1B4E7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1.4703407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15E174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[Eyeliner]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076E951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[Concealer]</w:t>
            </w:r>
          </w:p>
        </w:tc>
      </w:tr>
      <w:tr w:rsidR="004720B4" w:rsidRPr="004720B4" w14:paraId="344F5DB0" w14:textId="77777777" w:rsidTr="004720B4">
        <w:trPr>
          <w:trHeight w:val="255"/>
        </w:trPr>
        <w:tc>
          <w:tcPr>
            <w:tcW w:w="1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BD7E5CE" w14:textId="77777777" w:rsidR="004720B4" w:rsidRPr="004720B4" w:rsidRDefault="004720B4" w:rsidP="004720B4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b/>
                <w:bCs/>
                <w:color w:val="FFFFFF"/>
                <w:sz w:val="20"/>
                <w:szCs w:val="20"/>
              </w:rPr>
              <w:t>Rule 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97B61F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B32BC7E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762A14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439284B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60.60606061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CB95B8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1.37117784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03B90D5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[Blush]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82FFED1" w14:textId="77777777" w:rsidR="004720B4" w:rsidRPr="004720B4" w:rsidRDefault="004720B4" w:rsidP="004720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</w:pPr>
            <w:r w:rsidRPr="004720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</w:rPr>
              <w:t>[Concealer]</w:t>
            </w:r>
          </w:p>
        </w:tc>
      </w:tr>
    </w:tbl>
    <w:p w14:paraId="0442E3E9" w14:textId="6734C503" w:rsidR="004720B4" w:rsidRDefault="000C250F" w:rsidP="00472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Above are the association rules</w:t>
      </w:r>
      <w:r w:rsidR="001D5169">
        <w:rPr>
          <w:rFonts w:ascii="Arial" w:eastAsia="Times New Roman" w:hAnsi="Arial" w:cs="Arial"/>
          <w:color w:val="000000"/>
          <w:sz w:val="22"/>
          <w:szCs w:val="22"/>
        </w:rPr>
        <w:t xml:space="preserve"> for the cosmetics based on data provided. The rules above are ordered </w:t>
      </w:r>
      <w:r w:rsidR="00EC718B">
        <w:rPr>
          <w:rFonts w:ascii="Arial" w:eastAsia="Times New Roman" w:hAnsi="Arial" w:cs="Arial"/>
          <w:color w:val="000000"/>
          <w:sz w:val="22"/>
          <w:szCs w:val="22"/>
        </w:rPr>
        <w:t>based on the lift ratio.</w:t>
      </w:r>
    </w:p>
    <w:p w14:paraId="6E76F408" w14:textId="0F7AF1D7" w:rsidR="00EC718B" w:rsidRDefault="00EC718B" w:rsidP="00472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Lift Ratio (Definition) </w:t>
      </w:r>
      <w:r w:rsidR="001546DE">
        <w:rPr>
          <w:rFonts w:ascii="Arial" w:eastAsia="Times New Roman" w:hAnsi="Arial" w:cs="Arial"/>
          <w:color w:val="000000"/>
          <w:sz w:val="22"/>
          <w:szCs w:val="22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868AF">
        <w:rPr>
          <w:rFonts w:ascii="Arial" w:eastAsia="Times New Roman" w:hAnsi="Arial" w:cs="Arial"/>
          <w:color w:val="000000"/>
          <w:sz w:val="22"/>
          <w:szCs w:val="22"/>
        </w:rPr>
        <w:t>The ratio of a</w:t>
      </w:r>
      <w:r w:rsidR="001546DE">
        <w:rPr>
          <w:rFonts w:ascii="Arial" w:eastAsia="Times New Roman" w:hAnsi="Arial" w:cs="Arial"/>
          <w:color w:val="000000"/>
          <w:sz w:val="22"/>
          <w:szCs w:val="22"/>
        </w:rPr>
        <w:t xml:space="preserve"> customer </w:t>
      </w:r>
      <w:r w:rsidR="001632CC">
        <w:rPr>
          <w:rFonts w:ascii="Arial" w:eastAsia="Times New Roman" w:hAnsi="Arial" w:cs="Arial"/>
          <w:color w:val="000000"/>
          <w:sz w:val="22"/>
          <w:szCs w:val="22"/>
        </w:rPr>
        <w:t xml:space="preserve">probability of buying the Consequent product </w:t>
      </w:r>
      <w:r w:rsidR="007B5236">
        <w:rPr>
          <w:rFonts w:ascii="Arial" w:eastAsia="Times New Roman" w:hAnsi="Arial" w:cs="Arial"/>
          <w:color w:val="000000"/>
          <w:sz w:val="22"/>
          <w:szCs w:val="22"/>
        </w:rPr>
        <w:t xml:space="preserve">after the </w:t>
      </w:r>
      <w:r w:rsidR="008868AF">
        <w:rPr>
          <w:rFonts w:ascii="Arial" w:eastAsia="Times New Roman" w:hAnsi="Arial" w:cs="Arial"/>
          <w:color w:val="000000"/>
          <w:sz w:val="22"/>
          <w:szCs w:val="22"/>
        </w:rPr>
        <w:t xml:space="preserve">Antecedent product vs just the </w:t>
      </w:r>
      <w:r w:rsidR="003A2F8C">
        <w:rPr>
          <w:rFonts w:ascii="Arial" w:eastAsia="Times New Roman" w:hAnsi="Arial" w:cs="Arial"/>
          <w:color w:val="000000"/>
          <w:sz w:val="22"/>
          <w:szCs w:val="22"/>
        </w:rPr>
        <w:t xml:space="preserve">Consequent product. In other words, by strategically </w:t>
      </w:r>
      <w:r w:rsidR="00487FB5">
        <w:rPr>
          <w:rFonts w:ascii="Arial" w:eastAsia="Times New Roman" w:hAnsi="Arial" w:cs="Arial"/>
          <w:color w:val="000000"/>
          <w:sz w:val="22"/>
          <w:szCs w:val="22"/>
        </w:rPr>
        <w:t>the Antecedent and Consequent products as associated in a way that the sales can be potent</w:t>
      </w:r>
      <w:r w:rsidR="00C62452">
        <w:rPr>
          <w:rFonts w:ascii="Arial" w:eastAsia="Times New Roman" w:hAnsi="Arial" w:cs="Arial"/>
          <w:color w:val="000000"/>
          <w:sz w:val="22"/>
          <w:szCs w:val="22"/>
        </w:rPr>
        <w:t xml:space="preserve">ially lifted/increased </w:t>
      </w:r>
      <w:r w:rsidR="00CE2453">
        <w:rPr>
          <w:rFonts w:ascii="Arial" w:eastAsia="Times New Roman" w:hAnsi="Arial" w:cs="Arial"/>
          <w:color w:val="000000"/>
          <w:sz w:val="22"/>
          <w:szCs w:val="22"/>
        </w:rPr>
        <w:t xml:space="preserve">by lift ratio. </w:t>
      </w:r>
    </w:p>
    <w:p w14:paraId="7A9C6EB0" w14:textId="77777777" w:rsidR="00ED7043" w:rsidRDefault="00ED7043" w:rsidP="004720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76CC415C" w14:textId="5B497D19" w:rsidR="00CE2453" w:rsidRDefault="00CE2453" w:rsidP="004A052B">
      <w:pPr>
        <w:pStyle w:val="Heading3"/>
        <w:rPr>
          <w:rFonts w:eastAsia="Times New Roman"/>
        </w:rPr>
      </w:pPr>
      <w:r w:rsidRPr="00CE2453">
        <w:rPr>
          <w:rFonts w:eastAsia="Times New Roman"/>
        </w:rPr>
        <w:lastRenderedPageBreak/>
        <w:t>Few Highlights from the Association rules</w:t>
      </w:r>
    </w:p>
    <w:p w14:paraId="2D511E9F" w14:textId="2C790BD8" w:rsidR="00CE2453" w:rsidRDefault="001451B4" w:rsidP="00CE24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1451B4">
        <w:rPr>
          <w:rFonts w:ascii="Arial" w:eastAsia="Times New Roman" w:hAnsi="Arial" w:cs="Arial"/>
          <w:color w:val="000000"/>
          <w:sz w:val="22"/>
          <w:szCs w:val="22"/>
        </w:rPr>
        <w:t>Basic</w:t>
      </w:r>
      <w:r w:rsidR="00EA3B1C">
        <w:rPr>
          <w:rFonts w:ascii="Arial" w:eastAsia="Times New Roman" w:hAnsi="Arial" w:cs="Arial"/>
          <w:color w:val="000000"/>
          <w:sz w:val="22"/>
          <w:szCs w:val="22"/>
        </w:rPr>
        <w:t xml:space="preserve"> make-up products are highly </w:t>
      </w:r>
      <w:r w:rsidR="000459D2">
        <w:rPr>
          <w:rFonts w:ascii="Arial" w:eastAsia="Times New Roman" w:hAnsi="Arial" w:cs="Arial"/>
          <w:color w:val="000000"/>
          <w:sz w:val="22"/>
          <w:szCs w:val="22"/>
        </w:rPr>
        <w:t xml:space="preserve">associated </w:t>
      </w:r>
      <w:r w:rsidR="00974160">
        <w:rPr>
          <w:rFonts w:ascii="Arial" w:eastAsia="Times New Roman" w:hAnsi="Arial" w:cs="Arial"/>
          <w:color w:val="000000"/>
          <w:sz w:val="22"/>
          <w:szCs w:val="22"/>
        </w:rPr>
        <w:t xml:space="preserve">together. </w:t>
      </w:r>
      <w:r w:rsidR="000459D2">
        <w:rPr>
          <w:rFonts w:ascii="Arial" w:eastAsia="Times New Roman" w:hAnsi="Arial" w:cs="Arial"/>
          <w:color w:val="000000"/>
          <w:sz w:val="22"/>
          <w:szCs w:val="22"/>
        </w:rPr>
        <w:t>First 12 rules in 1</w:t>
      </w:r>
      <w:r w:rsidR="000459D2" w:rsidRPr="000459D2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st</w:t>
      </w:r>
      <w:r w:rsidR="000459D2">
        <w:rPr>
          <w:rFonts w:ascii="Arial" w:eastAsia="Times New Roman" w:hAnsi="Arial" w:cs="Arial"/>
          <w:color w:val="000000"/>
          <w:sz w:val="22"/>
          <w:szCs w:val="22"/>
        </w:rPr>
        <w:t xml:space="preserve"> set and first 2 rules in the 2</w:t>
      </w:r>
      <w:r w:rsidR="000459D2" w:rsidRPr="000459D2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nd</w:t>
      </w:r>
      <w:r w:rsidR="000459D2">
        <w:rPr>
          <w:rFonts w:ascii="Arial" w:eastAsia="Times New Roman" w:hAnsi="Arial" w:cs="Arial"/>
          <w:color w:val="000000"/>
          <w:sz w:val="22"/>
          <w:szCs w:val="22"/>
        </w:rPr>
        <w:t xml:space="preserve"> set</w:t>
      </w:r>
      <w:r w:rsidR="00974160">
        <w:rPr>
          <w:rFonts w:ascii="Arial" w:eastAsia="Times New Roman" w:hAnsi="Arial" w:cs="Arial"/>
          <w:color w:val="000000"/>
          <w:sz w:val="22"/>
          <w:szCs w:val="22"/>
        </w:rPr>
        <w:t xml:space="preserve"> prove the same. </w:t>
      </w:r>
      <w:r w:rsidR="007A4D69">
        <w:rPr>
          <w:rFonts w:ascii="Arial" w:eastAsia="Times New Roman" w:hAnsi="Arial" w:cs="Arial"/>
          <w:color w:val="000000"/>
          <w:sz w:val="22"/>
          <w:szCs w:val="22"/>
        </w:rPr>
        <w:t xml:space="preserve">Interpretation of some of rules - </w:t>
      </w:r>
    </w:p>
    <w:p w14:paraId="2BEC1F46" w14:textId="41355522" w:rsidR="00D66B93" w:rsidRDefault="007A4D69" w:rsidP="00D66B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Set A, Rule 11 - </w:t>
      </w:r>
      <w:r w:rsidR="009E4C57">
        <w:rPr>
          <w:rFonts w:ascii="Arial" w:eastAsia="Times New Roman" w:hAnsi="Arial" w:cs="Arial"/>
          <w:color w:val="000000"/>
          <w:sz w:val="22"/>
          <w:szCs w:val="22"/>
        </w:rPr>
        <w:t xml:space="preserve">A Customer buying blush and eye shadow </w:t>
      </w:r>
      <w:r w:rsidR="002D22CA">
        <w:rPr>
          <w:rFonts w:ascii="Arial" w:eastAsia="Times New Roman" w:hAnsi="Arial" w:cs="Arial"/>
          <w:color w:val="000000"/>
          <w:sz w:val="22"/>
          <w:szCs w:val="22"/>
        </w:rPr>
        <w:t>is</w:t>
      </w:r>
      <w:r w:rsidR="009E4C5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2.6% more likely to by Mascara.</w:t>
      </w:r>
    </w:p>
    <w:p w14:paraId="51385290" w14:textId="57642D8F" w:rsidR="007A4D69" w:rsidRDefault="00B27CF6" w:rsidP="00D66B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Set B, Rule 4 – A Customer buying Mascara </w:t>
      </w:r>
      <w:r w:rsidR="002D22CA">
        <w:rPr>
          <w:rFonts w:ascii="Arial" w:eastAsia="Times New Roman" w:hAnsi="Arial" w:cs="Arial"/>
          <w:color w:val="000000"/>
          <w:sz w:val="22"/>
          <w:szCs w:val="22"/>
        </w:rPr>
        <w:t>is 2.35% more likely to buy Eye shadow.</w:t>
      </w:r>
    </w:p>
    <w:p w14:paraId="3934B731" w14:textId="2E111940" w:rsidR="002D22CA" w:rsidRDefault="002D22CA" w:rsidP="00D66B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Set A, Rule </w:t>
      </w:r>
      <w:r w:rsidR="00C91811">
        <w:rPr>
          <w:rFonts w:ascii="Arial" w:eastAsia="Times New Roman" w:hAnsi="Arial" w:cs="Arial"/>
          <w:color w:val="000000"/>
          <w:sz w:val="22"/>
          <w:szCs w:val="22"/>
        </w:rPr>
        <w:t xml:space="preserve">10 </w:t>
      </w:r>
      <w:r w:rsidR="00274163">
        <w:rPr>
          <w:rFonts w:ascii="Arial" w:eastAsia="Times New Roman" w:hAnsi="Arial" w:cs="Arial"/>
          <w:color w:val="000000"/>
          <w:sz w:val="22"/>
          <w:szCs w:val="22"/>
        </w:rPr>
        <w:t>- A</w:t>
      </w:r>
      <w:r w:rsidR="00C91811">
        <w:rPr>
          <w:rFonts w:ascii="Arial" w:eastAsia="Times New Roman" w:hAnsi="Arial" w:cs="Arial"/>
          <w:color w:val="000000"/>
          <w:sz w:val="22"/>
          <w:szCs w:val="22"/>
        </w:rPr>
        <w:t xml:space="preserve"> Customer buying blush and </w:t>
      </w:r>
      <w:r w:rsidR="0059615E">
        <w:rPr>
          <w:rFonts w:ascii="Arial" w:eastAsia="Times New Roman" w:hAnsi="Arial" w:cs="Arial"/>
          <w:color w:val="000000"/>
          <w:sz w:val="22"/>
          <w:szCs w:val="22"/>
        </w:rPr>
        <w:t>Mascara is 2.41% more likely to buy Eye shadow.</w:t>
      </w:r>
    </w:p>
    <w:p w14:paraId="36D523C1" w14:textId="0D047D84" w:rsidR="00274163" w:rsidRDefault="00274163" w:rsidP="002741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Based on above association rules, we need to strategically locate these products in adjacent aisles </w:t>
      </w:r>
      <w:r w:rsidR="001577CE">
        <w:rPr>
          <w:rFonts w:ascii="Arial" w:eastAsia="Times New Roman" w:hAnsi="Arial" w:cs="Arial"/>
          <w:color w:val="000000"/>
          <w:sz w:val="22"/>
          <w:szCs w:val="22"/>
        </w:rPr>
        <w:t xml:space="preserve">and run sales promotions on Antecedent products to get the complementary sales on Consequent products. </w:t>
      </w:r>
    </w:p>
    <w:p w14:paraId="004FE389" w14:textId="409445A5" w:rsidR="001577CE" w:rsidRDefault="00484DD2" w:rsidP="002741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Adding more information like price and profit margin to these rules </w:t>
      </w:r>
      <w:r w:rsidR="00886DE3">
        <w:rPr>
          <w:rFonts w:ascii="Arial" w:eastAsia="Times New Roman" w:hAnsi="Arial" w:cs="Arial"/>
          <w:color w:val="000000"/>
          <w:sz w:val="22"/>
          <w:szCs w:val="22"/>
        </w:rPr>
        <w:t xml:space="preserve">will provide more insight to specifically target on few products. E.g. </w:t>
      </w:r>
      <w:r w:rsidR="001E396D">
        <w:rPr>
          <w:rFonts w:ascii="Arial" w:eastAsia="Times New Roman" w:hAnsi="Arial" w:cs="Arial"/>
          <w:color w:val="000000"/>
          <w:sz w:val="22"/>
          <w:szCs w:val="22"/>
        </w:rPr>
        <w:t xml:space="preserve">We can pick rules associated with products that have high profit margin. </w:t>
      </w:r>
    </w:p>
    <w:p w14:paraId="13409486" w14:textId="5DF8ABE5" w:rsidR="00D90707" w:rsidRDefault="00696680" w:rsidP="004A052B">
      <w:pPr>
        <w:pStyle w:val="Heading3"/>
        <w:rPr>
          <w:rFonts w:eastAsia="Times New Roman"/>
        </w:rPr>
      </w:pPr>
      <w:r>
        <w:rPr>
          <w:rFonts w:eastAsia="Times New Roman"/>
        </w:rPr>
        <w:t>XLMINER</w:t>
      </w:r>
    </w:p>
    <w:p w14:paraId="34D3E7A1" w14:textId="351057E4" w:rsidR="00D90707" w:rsidRPr="00D90707" w:rsidRDefault="00DF7E75" w:rsidP="00D90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F08A80F" wp14:editId="57DAAFA1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B399" w14:textId="77777777" w:rsidR="009468E4" w:rsidRPr="009468E4" w:rsidRDefault="00877933" w:rsidP="009468E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561DB3A9">
          <v:rect id="_x0000_i1026" style="width:0;height:1.5pt" o:hralign="center" o:hrstd="t" o:hrnoshade="t" o:hr="t" fillcolor="black" stroked="f"/>
        </w:pict>
      </w:r>
    </w:p>
    <w:p w14:paraId="561DB39A" w14:textId="77777777" w:rsidR="009468E4" w:rsidRPr="009468E4" w:rsidRDefault="009468E4" w:rsidP="00F2596E">
      <w:pPr>
        <w:pStyle w:val="Heading1"/>
        <w:rPr>
          <w:rFonts w:eastAsia="Times New Roman"/>
        </w:rPr>
      </w:pPr>
      <w:r w:rsidRPr="009468E4">
        <w:rPr>
          <w:rFonts w:eastAsia="Times New Roman"/>
        </w:rPr>
        <w:t>Problem 2</w:t>
      </w:r>
    </w:p>
    <w:p w14:paraId="561DB39C" w14:textId="77777777" w:rsidR="009468E4" w:rsidRPr="00F2596E" w:rsidRDefault="009468E4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Prepare an executive summary of your cluster analysis findings for J&amp;R Equities. The summary length should be 1 page (not including the appendix).</w:t>
      </w:r>
    </w:p>
    <w:p w14:paraId="561DB39D" w14:textId="77777777" w:rsidR="009468E4" w:rsidRPr="00F2596E" w:rsidRDefault="009468E4" w:rsidP="00946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lastRenderedPageBreak/>
        <w:t>Be sure to justify any settings used in your analysis (e.g., weights given to different variables, number of clusters formed, etc.) and address how J&amp;R can interpret the clusters (e.g., by naming each cluster, describing patterns, etc.) to better understand the pharmaceutical industry.</w:t>
      </w:r>
    </w:p>
    <w:p w14:paraId="561DB39E" w14:textId="00AEE1AF" w:rsidR="009468E4" w:rsidRPr="00F2596E" w:rsidRDefault="009468E4" w:rsidP="00946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 xml:space="preserve">Your summary should reference an appendix containing appropriate output from </w:t>
      </w:r>
      <w:proofErr w:type="spellStart"/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XLMiner</w:t>
      </w:r>
      <w:proofErr w:type="spellEnd"/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.</w:t>
      </w:r>
    </w:p>
    <w:p w14:paraId="5014AA93" w14:textId="254F7DE3" w:rsidR="00F62CCD" w:rsidRDefault="00F62CCD" w:rsidP="004A052B">
      <w:pPr>
        <w:pStyle w:val="Heading2"/>
        <w:rPr>
          <w:rFonts w:eastAsia="Times New Roman"/>
        </w:rPr>
      </w:pPr>
      <w:r w:rsidRPr="00F62CCD">
        <w:rPr>
          <w:rFonts w:eastAsia="Times New Roman"/>
        </w:rPr>
        <w:t>Solution</w:t>
      </w:r>
    </w:p>
    <w:p w14:paraId="759D23B6" w14:textId="07B4B52B" w:rsidR="00F62CCD" w:rsidRDefault="00F62CCD" w:rsidP="00F62C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Iterated the K-means clustering</w:t>
      </w:r>
      <w:r w:rsidR="00A818FB">
        <w:rPr>
          <w:rFonts w:ascii="Arial" w:eastAsia="Times New Roman" w:hAnsi="Arial" w:cs="Arial"/>
          <w:color w:val="000000"/>
          <w:sz w:val="22"/>
          <w:szCs w:val="22"/>
        </w:rPr>
        <w:t xml:space="preserve"> for clusters 2 through 7 and validated the metric to find out the ideal number of clusters. Based on the data and analysis</w:t>
      </w:r>
      <w:r w:rsidR="00C12C3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FF169B">
        <w:rPr>
          <w:rFonts w:ascii="Arial" w:eastAsia="Times New Roman" w:hAnsi="Arial" w:cs="Arial"/>
          <w:color w:val="000000"/>
          <w:sz w:val="22"/>
          <w:szCs w:val="22"/>
        </w:rPr>
        <w:t xml:space="preserve">3 clusters </w:t>
      </w:r>
      <w:proofErr w:type="gramStart"/>
      <w:r w:rsidR="00FF169B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  <w:r w:rsidR="00FF169B">
        <w:rPr>
          <w:rFonts w:ascii="Arial" w:eastAsia="Times New Roman" w:hAnsi="Arial" w:cs="Arial"/>
          <w:color w:val="000000"/>
          <w:sz w:val="22"/>
          <w:szCs w:val="22"/>
        </w:rPr>
        <w:t xml:space="preserve"> an ideal way of grouping the equit</w:t>
      </w:r>
      <w:r w:rsidR="00FE0120">
        <w:rPr>
          <w:rFonts w:ascii="Arial" w:eastAsia="Times New Roman" w:hAnsi="Arial" w:cs="Arial"/>
          <w:color w:val="000000"/>
          <w:sz w:val="22"/>
          <w:szCs w:val="22"/>
        </w:rPr>
        <w:t>ies</w:t>
      </w:r>
      <w:r w:rsidR="00FF169B">
        <w:rPr>
          <w:rFonts w:ascii="Arial" w:eastAsia="Times New Roman" w:hAnsi="Arial" w:cs="Arial"/>
          <w:color w:val="000000"/>
          <w:sz w:val="22"/>
          <w:szCs w:val="22"/>
        </w:rPr>
        <w:t xml:space="preserve"> with a maximum metric value</w:t>
      </w:r>
      <w:r w:rsidR="00FE0120">
        <w:rPr>
          <w:rFonts w:ascii="Arial" w:eastAsia="Times New Roman" w:hAnsi="Arial" w:cs="Arial"/>
          <w:color w:val="000000"/>
          <w:sz w:val="22"/>
          <w:szCs w:val="22"/>
        </w:rPr>
        <w:t xml:space="preserve"> of 1.38. </w:t>
      </w:r>
      <w:r w:rsidR="000D7B26">
        <w:rPr>
          <w:rFonts w:ascii="Arial" w:eastAsia="Times New Roman" w:hAnsi="Arial" w:cs="Arial"/>
          <w:color w:val="000000"/>
          <w:sz w:val="22"/>
          <w:szCs w:val="22"/>
        </w:rPr>
        <w:t xml:space="preserve">Below are the 3 clusters and </w:t>
      </w:r>
      <w:r w:rsidR="00AA4072">
        <w:rPr>
          <w:rFonts w:ascii="Arial" w:eastAsia="Times New Roman" w:hAnsi="Arial" w:cs="Arial"/>
          <w:color w:val="000000"/>
          <w:sz w:val="22"/>
          <w:szCs w:val="22"/>
        </w:rPr>
        <w:t>equities in these 3 clusters.</w:t>
      </w:r>
    </w:p>
    <w:p w14:paraId="3A96F562" w14:textId="46C205E5" w:rsidR="00AA4072" w:rsidRDefault="00AA4072" w:rsidP="004A052B">
      <w:pPr>
        <w:pStyle w:val="Heading2"/>
        <w:rPr>
          <w:rFonts w:eastAsia="Times New Roman"/>
        </w:rPr>
      </w:pPr>
      <w:r w:rsidRPr="00AA4072">
        <w:rPr>
          <w:rFonts w:eastAsia="Times New Roman"/>
        </w:rPr>
        <w:t>Summary</w:t>
      </w:r>
    </w:p>
    <w:p w14:paraId="18FC6C47" w14:textId="760EC6AD" w:rsidR="008A76C2" w:rsidRDefault="00312CE7" w:rsidP="00872E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03694">
        <w:rPr>
          <w:rFonts w:ascii="Arial" w:eastAsia="Times New Roman" w:hAnsi="Arial" w:cs="Arial"/>
          <w:color w:val="000000"/>
          <w:sz w:val="22"/>
          <w:szCs w:val="22"/>
        </w:rPr>
        <w:t xml:space="preserve">Within the pharmaceutical industry, cluster 1 </w:t>
      </w:r>
      <w:r w:rsidR="00BF2FF8" w:rsidRPr="00003694">
        <w:rPr>
          <w:rFonts w:ascii="Arial" w:eastAsia="Times New Roman" w:hAnsi="Arial" w:cs="Arial"/>
          <w:color w:val="000000"/>
          <w:sz w:val="22"/>
          <w:szCs w:val="22"/>
        </w:rPr>
        <w:t xml:space="preserve">are growth companies </w:t>
      </w:r>
      <w:r w:rsidR="00036ABC" w:rsidRPr="00003694">
        <w:rPr>
          <w:rFonts w:ascii="Arial" w:eastAsia="Times New Roman" w:hAnsi="Arial" w:cs="Arial"/>
          <w:color w:val="000000"/>
          <w:sz w:val="22"/>
          <w:szCs w:val="22"/>
        </w:rPr>
        <w:t xml:space="preserve">with a Revenue Growth </w:t>
      </w:r>
      <w:r w:rsidR="00A75DF8" w:rsidRPr="00003694">
        <w:rPr>
          <w:rFonts w:ascii="Arial" w:eastAsia="Times New Roman" w:hAnsi="Arial" w:cs="Arial"/>
          <w:color w:val="000000"/>
          <w:sz w:val="22"/>
          <w:szCs w:val="22"/>
        </w:rPr>
        <w:t xml:space="preserve">(Cluster Center) at 0.91 (normalized data). </w:t>
      </w:r>
    </w:p>
    <w:p w14:paraId="2FE8CB47" w14:textId="24911FF7" w:rsidR="00003694" w:rsidRDefault="00003694" w:rsidP="00872E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Cluster 2 are the companies with best Return on Asset</w:t>
      </w:r>
    </w:p>
    <w:p w14:paraId="6E8416AD" w14:textId="6A2B2AB7" w:rsidR="0002257B" w:rsidRDefault="0002257B" w:rsidP="00872E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Cluster 3 are the companies with worst Return on Asset</w:t>
      </w:r>
    </w:p>
    <w:p w14:paraId="1512A851" w14:textId="6E0819A1" w:rsidR="00713884" w:rsidRPr="00003694" w:rsidRDefault="00713884" w:rsidP="00872E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From an investing point of view, it is a good idea to have a healthy split between Cluster 1 and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2</w:t>
      </w:r>
      <w:r w:rsidR="004554F8">
        <w:rPr>
          <w:rFonts w:ascii="Arial" w:eastAsia="Times New Roman" w:hAnsi="Arial" w:cs="Arial"/>
          <w:color w:val="000000"/>
          <w:sz w:val="22"/>
          <w:szCs w:val="22"/>
        </w:rPr>
        <w:t>, and</w:t>
      </w:r>
      <w:proofErr w:type="gramEnd"/>
      <w:r w:rsidR="004554F8">
        <w:rPr>
          <w:rFonts w:ascii="Arial" w:eastAsia="Times New Roman" w:hAnsi="Arial" w:cs="Arial"/>
          <w:color w:val="000000"/>
          <w:sz w:val="22"/>
          <w:szCs w:val="22"/>
        </w:rPr>
        <w:t xml:space="preserve"> avoid cluster 3 companies. </w:t>
      </w:r>
    </w:p>
    <w:p w14:paraId="77826E92" w14:textId="1EF71777" w:rsidR="008A76C2" w:rsidRDefault="008A76C2" w:rsidP="00D37FC2">
      <w:pPr>
        <w:pStyle w:val="Heading3"/>
        <w:rPr>
          <w:rFonts w:eastAsia="Times New Roman"/>
        </w:rPr>
      </w:pPr>
      <w:r>
        <w:rPr>
          <w:rFonts w:eastAsia="Times New Roman"/>
        </w:rPr>
        <w:t>Growth Companies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260"/>
        <w:gridCol w:w="1000"/>
        <w:gridCol w:w="1273"/>
        <w:gridCol w:w="1273"/>
        <w:gridCol w:w="1273"/>
        <w:gridCol w:w="1180"/>
        <w:gridCol w:w="3320"/>
      </w:tblGrid>
      <w:tr w:rsidR="008A76C2" w:rsidRPr="008A76C2" w14:paraId="56C4BCE4" w14:textId="77777777" w:rsidTr="008A76C2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47EF3BF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ID</w:t>
            </w:r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559C77F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0471632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1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22B6BCF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2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D3B066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3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2232ED8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4</w:t>
            </w:r>
          </w:p>
        </w:tc>
        <w:tc>
          <w:tcPr>
            <w:tcW w:w="3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C8DCA1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5</w:t>
            </w:r>
          </w:p>
        </w:tc>
      </w:tr>
      <w:tr w:rsidR="008A76C2" w:rsidRPr="008A76C2" w14:paraId="40BE190E" w14:textId="77777777" w:rsidTr="008A76C2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48F5DB4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B0AAB4B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5A1B1D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1.99284699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2CEEA39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2.84364606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FC5982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3.0532988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A02B108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44E73D2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Aventis</w:t>
            </w:r>
          </w:p>
        </w:tc>
      </w:tr>
      <w:tr w:rsidR="008A76C2" w:rsidRPr="008A76C2" w14:paraId="34895BC0" w14:textId="77777777" w:rsidTr="008A76C2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D3F8CA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8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FC3AE4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6C310A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3.60563887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DA24258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5.59998543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D81186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4.56394399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024F634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CHTT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060F64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Chattem, Inc</w:t>
            </w:r>
          </w:p>
        </w:tc>
      </w:tr>
      <w:tr w:rsidR="008A76C2" w:rsidRPr="008A76C2" w14:paraId="699C821C" w14:textId="77777777" w:rsidTr="008A76C2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491A839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9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2EF5385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263F3BA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2.35576764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F89FB50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5.24668086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B7B169D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4.81280823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1F43E6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ELN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67CB79B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Elan Corporation, plc</w:t>
            </w:r>
          </w:p>
        </w:tc>
      </w:tr>
      <w:tr w:rsidR="008A76C2" w:rsidRPr="008A76C2" w14:paraId="4E9C593D" w14:textId="77777777" w:rsidTr="008A76C2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4384CFB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EEE06BB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853410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1.16304345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D2B14AA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3.39983321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8C4A934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2.62837772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B9C1BDE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IVX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EE5BD4E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IVAX Corporation</w:t>
            </w:r>
          </w:p>
        </w:tc>
      </w:tr>
      <w:tr w:rsidR="008A76C2" w:rsidRPr="008A76C2" w14:paraId="0A8199F3" w14:textId="77777777" w:rsidTr="008A76C2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F185565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390F489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B01F460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1.82880495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08E118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4.42384131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AFFD82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4.01903949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9D2903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MRX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A3B2830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Medicis</w:t>
            </w:r>
            <w:proofErr w:type="spellEnd"/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Pharmaceutical Corporation</w:t>
            </w:r>
          </w:p>
        </w:tc>
      </w:tr>
      <w:tr w:rsidR="008A76C2" w:rsidRPr="008A76C2" w14:paraId="22C73016" w14:textId="77777777" w:rsidTr="008A76C2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8FBB0F5" w14:textId="77777777" w:rsidR="008A76C2" w:rsidRPr="008A76C2" w:rsidRDefault="008A76C2" w:rsidP="008A76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20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AC06AE3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D17609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2.21910926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8A9FC81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3.72350989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48B469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3.49353847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3DE7ED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WPI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DF74963" w14:textId="77777777" w:rsidR="008A76C2" w:rsidRPr="008A76C2" w:rsidRDefault="008A76C2" w:rsidP="008A76C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A76C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Watson Pharmaceuticals, Inc.</w:t>
            </w:r>
          </w:p>
        </w:tc>
      </w:tr>
    </w:tbl>
    <w:p w14:paraId="084BF791" w14:textId="6BDF8665" w:rsidR="008A76C2" w:rsidRDefault="00545A5F" w:rsidP="00D37FC2">
      <w:pPr>
        <w:pStyle w:val="Heading3"/>
        <w:rPr>
          <w:rFonts w:eastAsia="Times New Roman"/>
        </w:rPr>
      </w:pPr>
      <w:r>
        <w:rPr>
          <w:rFonts w:eastAsia="Times New Roman"/>
        </w:rPr>
        <w:t>Best ROA Companies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260"/>
        <w:gridCol w:w="1000"/>
        <w:gridCol w:w="1273"/>
        <w:gridCol w:w="1273"/>
        <w:gridCol w:w="1273"/>
        <w:gridCol w:w="1180"/>
        <w:gridCol w:w="3320"/>
      </w:tblGrid>
      <w:tr w:rsidR="00545A5F" w:rsidRPr="00545A5F" w14:paraId="338B4430" w14:textId="77777777" w:rsidTr="00545A5F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12653E4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ID</w:t>
            </w:r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66D109E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1235F7B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1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12C29B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2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BC094BE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3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6170E19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4</w:t>
            </w:r>
          </w:p>
        </w:tc>
        <w:tc>
          <w:tcPr>
            <w:tcW w:w="3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D849D17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5</w:t>
            </w:r>
          </w:p>
        </w:tc>
      </w:tr>
      <w:tr w:rsidR="00545A5F" w:rsidRPr="00545A5F" w14:paraId="7DF22AF4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0C3AE32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DFE75F3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FFD78D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2.94712765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FD0D5F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1.37425702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F6C47C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2.89358244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DCB41F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ABT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EF6D265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Abbott Laboratories</w:t>
            </w:r>
          </w:p>
        </w:tc>
      </w:tr>
      <w:tr w:rsidR="00545A5F" w:rsidRPr="00545A5F" w14:paraId="7CD30ACF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E66D0AB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9601E0A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6D5161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3.4855838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7D7D7B9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1.16815931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E7B93BF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3.48635479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5DFE16C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AZN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8D7E0AD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AstraZeneca PLC</w:t>
            </w:r>
          </w:p>
        </w:tc>
      </w:tr>
      <w:tr w:rsidR="00545A5F" w:rsidRPr="00545A5F" w14:paraId="69D62CC7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752AFB8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7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2BFDE2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B7B15A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3.79515504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1B92E6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1.28062169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DF6D27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3.96342322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6B44B6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BMY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637E843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Bristol-Myers Squibb Company</w:t>
            </w:r>
          </w:p>
        </w:tc>
      </w:tr>
      <w:tr w:rsidR="00545A5F" w:rsidRPr="00545A5F" w14:paraId="63E88BBC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880B159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20821D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62C8A1E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3.6723083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BB9D34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1.66625372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98ABAD8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4.00492502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2EB9F8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LLY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DA16690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 Lilly and Company</w:t>
            </w:r>
          </w:p>
        </w:tc>
      </w:tr>
      <w:tr w:rsidR="00545A5F" w:rsidRPr="00545A5F" w14:paraId="75E7A9A2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459B03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58BB9F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F22B494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5.46232904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76683B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2.56418355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8990CE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5.90188407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684DB7E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GSK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1E55481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GlaxoSmithKline plc</w:t>
            </w:r>
          </w:p>
        </w:tc>
      </w:tr>
      <w:tr w:rsidR="00545A5F" w:rsidRPr="00545A5F" w14:paraId="53D6FE06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63A4B6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B2B382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9D5073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4.5823579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8243DE4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1.62595174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167462C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4.19325046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FBC0A8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JNJ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21AA921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 &amp; Johnson</w:t>
            </w:r>
          </w:p>
        </w:tc>
      </w:tr>
      <w:tr w:rsidR="00545A5F" w:rsidRPr="00545A5F" w14:paraId="03EDB410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9DC1E5F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860C77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98DEB7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4.49150555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CA4CFC6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1.92237492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C3A8BD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4.33643105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2D0AEB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MRK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5088BF3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Merck &amp; Co., Inc.</w:t>
            </w:r>
          </w:p>
        </w:tc>
      </w:tr>
      <w:tr w:rsidR="00545A5F" w:rsidRPr="00545A5F" w14:paraId="60F0349E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1217891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1B39B5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B817EDE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4.02063027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ECC146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2.50829483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BF5DDD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3.99912832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80D369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NVS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3B31BF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Novartis AG</w:t>
            </w:r>
          </w:p>
        </w:tc>
      </w:tr>
      <w:tr w:rsidR="00545A5F" w:rsidRPr="00545A5F" w14:paraId="44177239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A1F6F21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17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2F74E1C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47C4B3D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5.25122404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F5F0614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2.72448543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B78F977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5.86220574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B074005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PFE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02FC7FA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Pfizer Inc</w:t>
            </w:r>
          </w:p>
        </w:tc>
      </w:tr>
      <w:tr w:rsidR="00545A5F" w:rsidRPr="00545A5F" w14:paraId="767FD088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285DB96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19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5DA69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6D8F4F1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3.06461039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3992B3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1.56833045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BDAC01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3.00774257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7C6713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SGP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98B0D08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Schering-Plough Corporation</w:t>
            </w:r>
          </w:p>
        </w:tc>
      </w:tr>
      <w:tr w:rsidR="00545A5F" w:rsidRPr="00545A5F" w14:paraId="46ACFBC4" w14:textId="77777777" w:rsidTr="00545A5F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06FEF70" w14:textId="77777777" w:rsidR="00545A5F" w:rsidRPr="00545A5F" w:rsidRDefault="00545A5F" w:rsidP="00545A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21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416340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892D45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4.09732163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D9A918C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2.55948776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CE993B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5.04816344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9D91917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WYE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A46B16" w14:textId="77777777" w:rsidR="00545A5F" w:rsidRPr="00545A5F" w:rsidRDefault="00545A5F" w:rsidP="00545A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5A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Wyeth</w:t>
            </w:r>
          </w:p>
        </w:tc>
      </w:tr>
    </w:tbl>
    <w:p w14:paraId="7933CFB1" w14:textId="31FF2D63" w:rsidR="00545A5F" w:rsidRDefault="00D14BA0" w:rsidP="00D37FC2">
      <w:pPr>
        <w:pStyle w:val="Heading3"/>
        <w:rPr>
          <w:rFonts w:eastAsia="Times New Roman"/>
        </w:rPr>
      </w:pPr>
      <w:r>
        <w:rPr>
          <w:rFonts w:eastAsia="Times New Roman"/>
        </w:rPr>
        <w:t>Worst ROA Companies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260"/>
        <w:gridCol w:w="1000"/>
        <w:gridCol w:w="1273"/>
        <w:gridCol w:w="1273"/>
        <w:gridCol w:w="1273"/>
        <w:gridCol w:w="1180"/>
        <w:gridCol w:w="3320"/>
      </w:tblGrid>
      <w:tr w:rsidR="00D14BA0" w:rsidRPr="00D14BA0" w14:paraId="398E3296" w14:textId="77777777" w:rsidTr="00D14BA0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2C335B8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ID</w:t>
            </w:r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5F08D9E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8759B9A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1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2DF2C13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2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6AAB988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3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E9C6E12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4</w:t>
            </w:r>
          </w:p>
        </w:tc>
        <w:tc>
          <w:tcPr>
            <w:tcW w:w="33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237964F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Cluster 5</w:t>
            </w:r>
          </w:p>
        </w:tc>
      </w:tr>
      <w:tr w:rsidR="00D14BA0" w:rsidRPr="00D14BA0" w14:paraId="1F4CFDD6" w14:textId="77777777" w:rsidTr="00D14BA0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F376ED3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Record 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CA34F53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26DF40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4.84436576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4F414A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5.2313158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887FB7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2.45938375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983C0F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AGN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7450E94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Allergan, Inc.</w:t>
            </w:r>
          </w:p>
        </w:tc>
      </w:tr>
      <w:tr w:rsidR="00D14BA0" w:rsidRPr="00D14BA0" w14:paraId="648B90A0" w14:textId="77777777" w:rsidTr="00D14BA0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7B2CBD0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141D8EE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62C11A7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2.88000583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AE22C9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2.87889366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79612C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2.04995541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D919AE4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AHM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5F008BB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Amersham</w:t>
            </w:r>
            <w:proofErr w:type="spellEnd"/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plc</w:t>
            </w:r>
          </w:p>
        </w:tc>
      </w:tr>
      <w:tr w:rsidR="00D14BA0" w:rsidRPr="00D14BA0" w14:paraId="009033F5" w14:textId="77777777" w:rsidTr="00D14BA0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93827C9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A5B25CE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C63D3A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4.06084691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127E1C4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5.43871688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0CF43F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2.82359572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02D8C6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642ED22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Bayer AG</w:t>
            </w:r>
          </w:p>
        </w:tc>
      </w:tr>
      <w:tr w:rsidR="00D14BA0" w:rsidRPr="00D14BA0" w14:paraId="7AB501CF" w14:textId="77777777" w:rsidTr="00D14BA0">
        <w:trPr>
          <w:trHeight w:val="255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725E232" w14:textId="77777777" w:rsidR="00D14BA0" w:rsidRPr="00D14BA0" w:rsidRDefault="00D14BA0" w:rsidP="00D14B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Record 18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6367BD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8F9F37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3.14871921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DBEDDA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3.91602839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409B1C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1.52263433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C8B75FC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</w:t>
            </w:r>
          </w:p>
        </w:tc>
        <w:tc>
          <w:tcPr>
            <w:tcW w:w="3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D3A2548" w14:textId="77777777" w:rsidR="00D14BA0" w:rsidRPr="00D14BA0" w:rsidRDefault="00D14BA0" w:rsidP="00D14B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B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Pharmacia Corporation</w:t>
            </w:r>
          </w:p>
        </w:tc>
      </w:tr>
    </w:tbl>
    <w:p w14:paraId="257CEF55" w14:textId="77777777" w:rsidR="00D14BA0" w:rsidRPr="00F62CCD" w:rsidRDefault="00D14BA0" w:rsidP="00F62C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194DC3C2" w14:textId="008BD6AA" w:rsidR="00464949" w:rsidRPr="00696680" w:rsidRDefault="00696680" w:rsidP="00D37FC2">
      <w:pPr>
        <w:pStyle w:val="Heading2"/>
        <w:rPr>
          <w:rFonts w:eastAsia="Times New Roman"/>
        </w:rPr>
      </w:pPr>
      <w:r w:rsidRPr="00696680">
        <w:rPr>
          <w:rFonts w:eastAsia="Times New Roman"/>
        </w:rPr>
        <w:t>XLMINER</w:t>
      </w:r>
    </w:p>
    <w:p w14:paraId="5D8DCC58" w14:textId="701C6CD6" w:rsidR="00006CB1" w:rsidRDefault="00006CB1" w:rsidP="00D37FC2">
      <w:pPr>
        <w:pStyle w:val="Heading3"/>
        <w:rPr>
          <w:rFonts w:eastAsia="Times New Roman"/>
        </w:rPr>
      </w:pPr>
      <w:r>
        <w:rPr>
          <w:rFonts w:eastAsia="Times New Roman"/>
        </w:rPr>
        <w:t>3 Clusters</w:t>
      </w:r>
    </w:p>
    <w:p w14:paraId="669D3F2A" w14:textId="7413BB1C" w:rsidR="00464949" w:rsidRDefault="00464949" w:rsidP="004649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D49DFA" wp14:editId="2B14F4D8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1FBA" w14:textId="21C82CE5" w:rsidR="006647D5" w:rsidRDefault="006647D5" w:rsidP="004649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FFF41A1" wp14:editId="51E226DC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023E" w14:textId="669AD8BA" w:rsidR="005838B1" w:rsidRDefault="005838B1" w:rsidP="00D37FC2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4 Clusters</w:t>
      </w:r>
    </w:p>
    <w:p w14:paraId="5D794111" w14:textId="386CCEF3" w:rsidR="005838B1" w:rsidRPr="00464949" w:rsidRDefault="005838B1" w:rsidP="004649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14C0B35" wp14:editId="09B048C3">
            <wp:extent cx="5943600" cy="3985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B39F" w14:textId="77777777" w:rsidR="009468E4" w:rsidRPr="009468E4" w:rsidRDefault="00877933" w:rsidP="009468E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pict w14:anchorId="561DB3AA">
          <v:rect id="_x0000_i1027" style="width:0;height:1.5pt" o:hralign="center" o:hrstd="t" o:hrnoshade="t" o:hr="t" fillcolor="black" stroked="f"/>
        </w:pict>
      </w:r>
    </w:p>
    <w:p w14:paraId="561DB3A0" w14:textId="77777777" w:rsidR="009468E4" w:rsidRPr="00792576" w:rsidRDefault="009468E4" w:rsidP="00792576">
      <w:pPr>
        <w:pStyle w:val="Heading1"/>
      </w:pPr>
      <w:r w:rsidRPr="00792576">
        <w:t>Problem 3</w:t>
      </w:r>
    </w:p>
    <w:p w14:paraId="6BDE72EF" w14:textId="77777777" w:rsidR="00792576" w:rsidRDefault="009468E4" w:rsidP="00792576">
      <w:pPr>
        <w:pStyle w:val="Heading2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792576">
        <w:rPr>
          <w:rStyle w:val="Heading2Char"/>
        </w:rPr>
        <w:t>a1.</w:t>
      </w: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 </w:t>
      </w:r>
    </w:p>
    <w:p w14:paraId="561DB3A3" w14:textId="20A81947" w:rsidR="009468E4" w:rsidRPr="00F2596E" w:rsidRDefault="009468E4" w:rsidP="00F259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 xml:space="preserve">Fit a classification tree with all predictors, using the best-pruned tree. To avoid overfitting set the minimum number of records in a leaf node to 50. Also, set the maximum number of levels displayed at seven (the max. allowed in </w:t>
      </w:r>
      <w:proofErr w:type="spellStart"/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XLMiner</w:t>
      </w:r>
      <w:proofErr w:type="spellEnd"/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). Is this model practical for predicting the outcome of a new auction? Why or why not?</w:t>
      </w:r>
    </w:p>
    <w:p w14:paraId="039DB447" w14:textId="5419BC64" w:rsidR="00F310DD" w:rsidRDefault="00F310DD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W w:w="9205" w:type="dxa"/>
        <w:tblInd w:w="-5" w:type="dxa"/>
        <w:tblLook w:val="04A0" w:firstRow="1" w:lastRow="0" w:firstColumn="1" w:lastColumn="0" w:noHBand="0" w:noVBand="1"/>
      </w:tblPr>
      <w:tblGrid>
        <w:gridCol w:w="1968"/>
        <w:gridCol w:w="1000"/>
        <w:gridCol w:w="1020"/>
        <w:gridCol w:w="132"/>
        <w:gridCol w:w="876"/>
        <w:gridCol w:w="4209"/>
      </w:tblGrid>
      <w:tr w:rsidR="00F310DD" w:rsidRPr="00F310DD" w14:paraId="3603BDF7" w14:textId="77777777" w:rsidTr="00736BA5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14:paraId="23494774" w14:textId="77777777" w:rsidR="00F310DD" w:rsidRPr="00F310DD" w:rsidRDefault="00F310DD" w:rsidP="00F31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310D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Limit min # records in leaves</w:t>
            </w:r>
          </w:p>
        </w:tc>
        <w:tc>
          <w:tcPr>
            <w:tcW w:w="508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46F3CC" w14:textId="77777777" w:rsidR="00F310DD" w:rsidRPr="00F310DD" w:rsidRDefault="00F310DD" w:rsidP="00F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</w:t>
            </w:r>
          </w:p>
        </w:tc>
      </w:tr>
      <w:tr w:rsidR="00736BA5" w:rsidRPr="00736BA5" w14:paraId="6913B428" w14:textId="77777777" w:rsidTr="00736BA5">
        <w:trPr>
          <w:gridAfter w:val="1"/>
          <w:wAfter w:w="4209" w:type="dxa"/>
          <w:trHeight w:val="300"/>
        </w:trPr>
        <w:tc>
          <w:tcPr>
            <w:tcW w:w="19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2524724" w14:textId="77777777" w:rsidR="00736BA5" w:rsidRPr="00736BA5" w:rsidRDefault="00736BA5" w:rsidP="0073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736BA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Overall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980039F" w14:textId="77777777" w:rsidR="00736BA5" w:rsidRPr="00736BA5" w:rsidRDefault="00736BA5" w:rsidP="00736B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17D8E8" w14:textId="77777777" w:rsidR="00736BA5" w:rsidRPr="00736BA5" w:rsidRDefault="00736BA5" w:rsidP="00736B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6B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08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0E91691" w14:textId="77777777" w:rsidR="00736BA5" w:rsidRPr="00736BA5" w:rsidRDefault="00736BA5" w:rsidP="00736B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736B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  <w:t>17.4026</w:t>
            </w:r>
          </w:p>
        </w:tc>
      </w:tr>
    </w:tbl>
    <w:p w14:paraId="7E1E1AB9" w14:textId="1038E547" w:rsidR="00EA15AB" w:rsidRDefault="001670E1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69E716" wp14:editId="16029635">
            <wp:extent cx="5476875" cy="325247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5" b="13556"/>
                    <a:stretch/>
                  </pic:blipFill>
                  <pic:spPr bwMode="auto">
                    <a:xfrm>
                      <a:off x="0" y="0"/>
                      <a:ext cx="5539459" cy="328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205" w:type="dxa"/>
        <w:tblInd w:w="-5" w:type="dxa"/>
        <w:tblLook w:val="04A0" w:firstRow="1" w:lastRow="0" w:firstColumn="1" w:lastColumn="0" w:noHBand="0" w:noVBand="1"/>
      </w:tblPr>
      <w:tblGrid>
        <w:gridCol w:w="1968"/>
        <w:gridCol w:w="1000"/>
        <w:gridCol w:w="1020"/>
        <w:gridCol w:w="138"/>
        <w:gridCol w:w="918"/>
        <w:gridCol w:w="4204"/>
      </w:tblGrid>
      <w:tr w:rsidR="00143CBD" w:rsidRPr="00143CBD" w14:paraId="64EF1573" w14:textId="77777777" w:rsidTr="002603C0">
        <w:trPr>
          <w:trHeight w:val="300"/>
        </w:trPr>
        <w:tc>
          <w:tcPr>
            <w:tcW w:w="41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14:paraId="7B5FE5C9" w14:textId="77777777" w:rsidR="00143CBD" w:rsidRPr="00143CBD" w:rsidRDefault="00143CBD" w:rsidP="00143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143CB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Limit min # records in leaves</w:t>
            </w:r>
          </w:p>
        </w:tc>
        <w:tc>
          <w:tcPr>
            <w:tcW w:w="508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8FF4B0E" w14:textId="77777777" w:rsidR="00143CBD" w:rsidRPr="00143CBD" w:rsidRDefault="00143CBD" w:rsidP="00143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3C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2603C0" w:rsidRPr="002603C0" w14:paraId="2595C9F4" w14:textId="77777777" w:rsidTr="002603C0">
        <w:trPr>
          <w:gridAfter w:val="1"/>
          <w:wAfter w:w="4209" w:type="dxa"/>
          <w:trHeight w:val="300"/>
        </w:trPr>
        <w:tc>
          <w:tcPr>
            <w:tcW w:w="19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B655B11" w14:textId="77777777" w:rsidR="002603C0" w:rsidRPr="002603C0" w:rsidRDefault="002603C0" w:rsidP="002603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603C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Overall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6376F7" w14:textId="77777777" w:rsidR="002603C0" w:rsidRPr="002603C0" w:rsidRDefault="002603C0" w:rsidP="00260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03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D7A8C4" w14:textId="77777777" w:rsidR="002603C0" w:rsidRPr="002603C0" w:rsidRDefault="002603C0" w:rsidP="00260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603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08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072222C" w14:textId="77777777" w:rsidR="002603C0" w:rsidRPr="002603C0" w:rsidRDefault="002603C0" w:rsidP="00260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2603C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</w:rPr>
              <w:t>15.42461</w:t>
            </w:r>
          </w:p>
        </w:tc>
      </w:tr>
    </w:tbl>
    <w:p w14:paraId="262E4B88" w14:textId="0F4038B6" w:rsidR="00143CBD" w:rsidRDefault="00392EA5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D785571" wp14:editId="0E62670F">
            <wp:extent cx="5667375" cy="36391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68" b="12644"/>
                    <a:stretch/>
                  </pic:blipFill>
                  <pic:spPr bwMode="auto">
                    <a:xfrm>
                      <a:off x="0" y="0"/>
                      <a:ext cx="5790417" cy="371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2436F" w14:textId="39D46419" w:rsidR="000C27F9" w:rsidRDefault="000C27F9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Yes, this model is practical to predict the outcome of an auction but at the same time does not consider other parameters like</w:t>
      </w:r>
      <w:r w:rsidR="00C174BC">
        <w:rPr>
          <w:rFonts w:ascii="Arial" w:eastAsia="Times New Roman" w:hAnsi="Arial" w:cs="Arial"/>
          <w:color w:val="000000"/>
          <w:sz w:val="22"/>
          <w:szCs w:val="22"/>
        </w:rPr>
        <w:t xml:space="preserve"> end day and duration. The classification tree predictability is based on </w:t>
      </w:r>
      <w:r w:rsidR="002162DD">
        <w:rPr>
          <w:rFonts w:ascii="Arial" w:eastAsia="Times New Roman" w:hAnsi="Arial" w:cs="Arial"/>
          <w:color w:val="000000"/>
          <w:sz w:val="22"/>
          <w:szCs w:val="22"/>
        </w:rPr>
        <w:t xml:space="preserve">Category, </w:t>
      </w:r>
      <w:proofErr w:type="spellStart"/>
      <w:r w:rsidR="00C174BC">
        <w:rPr>
          <w:rFonts w:ascii="Arial" w:eastAsia="Times New Roman" w:hAnsi="Arial" w:cs="Arial"/>
          <w:color w:val="000000"/>
          <w:sz w:val="22"/>
          <w:szCs w:val="22"/>
        </w:rPr>
        <w:t>OpenPrice</w:t>
      </w:r>
      <w:proofErr w:type="spellEnd"/>
      <w:r w:rsidR="00C174B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="00C174BC">
        <w:rPr>
          <w:rFonts w:ascii="Arial" w:eastAsia="Times New Roman" w:hAnsi="Arial" w:cs="Arial"/>
          <w:color w:val="000000"/>
          <w:sz w:val="22"/>
          <w:szCs w:val="22"/>
        </w:rPr>
        <w:t>ClosePrice</w:t>
      </w:r>
      <w:proofErr w:type="spellEnd"/>
      <w:r w:rsidR="00C174B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E46F9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proofErr w:type="spellStart"/>
      <w:r w:rsidR="001E46F9">
        <w:rPr>
          <w:rFonts w:ascii="Arial" w:eastAsia="Times New Roman" w:hAnsi="Arial" w:cs="Arial"/>
          <w:color w:val="000000"/>
          <w:sz w:val="22"/>
          <w:szCs w:val="22"/>
        </w:rPr>
        <w:t>SellerRating</w:t>
      </w:r>
      <w:proofErr w:type="spellEnd"/>
      <w:r w:rsidR="001E46F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410EB46" w14:textId="1C9DA118" w:rsidR="0073716A" w:rsidRPr="009468E4" w:rsidRDefault="0073716A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By limiting </w:t>
      </w:r>
      <w:r w:rsidR="0049166A">
        <w:rPr>
          <w:rFonts w:ascii="Arial" w:eastAsia="Times New Roman" w:hAnsi="Arial" w:cs="Arial"/>
          <w:color w:val="000000"/>
          <w:sz w:val="22"/>
          <w:szCs w:val="22"/>
        </w:rPr>
        <w:t>the min # records in leaves from 191 to 50, we reduced the overall error % from 17.4% to 15.42%</w:t>
      </w:r>
      <w:r w:rsidR="00322BCE">
        <w:rPr>
          <w:rFonts w:ascii="Arial" w:eastAsia="Times New Roman" w:hAnsi="Arial" w:cs="Arial"/>
          <w:color w:val="000000"/>
          <w:sz w:val="22"/>
          <w:szCs w:val="22"/>
        </w:rPr>
        <w:t xml:space="preserve"> but an important parameter category </w:t>
      </w:r>
      <w:r w:rsidR="00C002A7">
        <w:rPr>
          <w:rFonts w:ascii="Arial" w:eastAsia="Times New Roman" w:hAnsi="Arial" w:cs="Arial"/>
          <w:color w:val="000000"/>
          <w:sz w:val="22"/>
          <w:szCs w:val="22"/>
        </w:rPr>
        <w:t xml:space="preserve">is being removed from the classification tree. </w:t>
      </w:r>
    </w:p>
    <w:p w14:paraId="345C5065" w14:textId="77777777" w:rsidR="00792576" w:rsidRDefault="009468E4" w:rsidP="00792576">
      <w:pPr>
        <w:pStyle w:val="Heading2"/>
        <w:rPr>
          <w:rFonts w:eastAsia="Times New Roman"/>
        </w:rPr>
      </w:pPr>
      <w:r w:rsidRPr="00F2596E">
        <w:rPr>
          <w:rFonts w:eastAsia="Times New Roman"/>
        </w:rPr>
        <w:t>a2. </w:t>
      </w:r>
    </w:p>
    <w:p w14:paraId="561DB3A4" w14:textId="4FEC393A" w:rsidR="009468E4" w:rsidRPr="00F2596E" w:rsidRDefault="009468E4" w:rsidP="00F259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Describe the interesting and uninteresting information that your tree's rules provide.</w:t>
      </w:r>
    </w:p>
    <w:p w14:paraId="52A60C4D" w14:textId="096B78D8" w:rsidR="0034647B" w:rsidRDefault="00356039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Tree provides very interesting insights based on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OpenPrice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ClosePrice</w:t>
      </w:r>
      <w:proofErr w:type="spellEnd"/>
      <w:r w:rsidR="00845749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="00845749">
        <w:rPr>
          <w:rFonts w:ascii="Arial" w:eastAsia="Times New Roman" w:hAnsi="Arial" w:cs="Arial"/>
          <w:color w:val="000000"/>
          <w:sz w:val="22"/>
          <w:szCs w:val="22"/>
        </w:rPr>
        <w:t>SellerRating</w:t>
      </w:r>
      <w:proofErr w:type="spellEnd"/>
      <w:r w:rsidR="00845749">
        <w:rPr>
          <w:rFonts w:ascii="Arial" w:eastAsia="Times New Roman" w:hAnsi="Arial" w:cs="Arial"/>
          <w:color w:val="000000"/>
          <w:sz w:val="22"/>
          <w:szCs w:val="22"/>
        </w:rPr>
        <w:t xml:space="preserve"> that can predict if the auction is competitive or not. </w:t>
      </w:r>
    </w:p>
    <w:p w14:paraId="7B079EC7" w14:textId="01059B45" w:rsidR="00845749" w:rsidRDefault="00845749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At the same time, th</w:t>
      </w:r>
      <w:r w:rsidR="005C1C1A">
        <w:rPr>
          <w:rFonts w:ascii="Arial" w:eastAsia="Times New Roman" w:hAnsi="Arial" w:cs="Arial"/>
          <w:color w:val="000000"/>
          <w:sz w:val="22"/>
          <w:szCs w:val="22"/>
        </w:rPr>
        <w:t xml:space="preserve">e tree must also include other parameters like Category, </w:t>
      </w:r>
      <w:r w:rsidR="0088277A">
        <w:rPr>
          <w:rFonts w:ascii="Arial" w:eastAsia="Times New Roman" w:hAnsi="Arial" w:cs="Arial"/>
          <w:color w:val="000000"/>
          <w:sz w:val="22"/>
          <w:szCs w:val="22"/>
        </w:rPr>
        <w:t>Duration and End Date as these might impact if the auction is competitive or not because</w:t>
      </w:r>
    </w:p>
    <w:p w14:paraId="4F224995" w14:textId="71B423B1" w:rsidR="0088277A" w:rsidRDefault="00C5456E" w:rsidP="0088277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Most of the customer</w:t>
      </w:r>
      <w:r w:rsidR="00734561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do more shopping in weekends and so this </w:t>
      </w:r>
      <w:r w:rsidR="00734561">
        <w:rPr>
          <w:rFonts w:ascii="Arial" w:eastAsia="Times New Roman" w:hAnsi="Arial" w:cs="Arial"/>
          <w:color w:val="000000"/>
          <w:sz w:val="22"/>
          <w:szCs w:val="22"/>
        </w:rPr>
        <w:t>can make an auction more competitive.</w:t>
      </w:r>
    </w:p>
    <w:p w14:paraId="26CA436D" w14:textId="7B93A738" w:rsidR="00734561" w:rsidRDefault="00734561" w:rsidP="0088277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Duration </w:t>
      </w:r>
      <w:r w:rsidR="00703E7A">
        <w:rPr>
          <w:rFonts w:ascii="Arial" w:eastAsia="Times New Roman" w:hAnsi="Arial" w:cs="Arial"/>
          <w:color w:val="000000"/>
          <w:sz w:val="22"/>
          <w:szCs w:val="22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03E7A">
        <w:rPr>
          <w:rFonts w:ascii="Arial" w:eastAsia="Times New Roman" w:hAnsi="Arial" w:cs="Arial"/>
          <w:color w:val="000000"/>
          <w:sz w:val="22"/>
          <w:szCs w:val="22"/>
        </w:rPr>
        <w:t xml:space="preserve">The Auctions that are active for </w:t>
      </w:r>
      <w:r w:rsidR="00DC5477">
        <w:rPr>
          <w:rFonts w:ascii="Arial" w:eastAsia="Times New Roman" w:hAnsi="Arial" w:cs="Arial"/>
          <w:color w:val="000000"/>
          <w:sz w:val="22"/>
          <w:szCs w:val="22"/>
        </w:rPr>
        <w:t>a smaller</w:t>
      </w:r>
      <w:r w:rsidR="00703E7A">
        <w:rPr>
          <w:rFonts w:ascii="Arial" w:eastAsia="Times New Roman" w:hAnsi="Arial" w:cs="Arial"/>
          <w:color w:val="000000"/>
          <w:sz w:val="22"/>
          <w:szCs w:val="22"/>
        </w:rPr>
        <w:t xml:space="preserve"> number of days might be more competitive depending on the category. </w:t>
      </w:r>
    </w:p>
    <w:p w14:paraId="6A830B0C" w14:textId="11F839F7" w:rsidR="00D17E24" w:rsidRDefault="00D17E24" w:rsidP="00D17E24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D17E24">
        <w:rPr>
          <w:rFonts w:ascii="Arial" w:eastAsia="Times New Roman" w:hAnsi="Arial" w:cs="Arial"/>
          <w:color w:val="000000"/>
          <w:sz w:val="22"/>
          <w:szCs w:val="22"/>
          <w:u w:val="single"/>
        </w:rPr>
        <w:t>Analysis based on the Rules</w:t>
      </w:r>
    </w:p>
    <w:p w14:paraId="7AD4853B" w14:textId="2974A53B" w:rsidR="00D17E24" w:rsidRDefault="00D17E24" w:rsidP="00D17E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 w:rsidRPr="00D17E24">
        <w:rPr>
          <w:rFonts w:ascii="Arial" w:eastAsia="Times New Roman" w:hAnsi="Arial" w:cs="Arial"/>
          <w:color w:val="000000"/>
          <w:sz w:val="22"/>
          <w:szCs w:val="22"/>
        </w:rPr>
        <w:t>Interesting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Seller Rating is important only when the price of the category </w:t>
      </w:r>
      <w:r w:rsidR="00B66E86">
        <w:rPr>
          <w:rFonts w:ascii="Arial" w:eastAsia="Times New Roman" w:hAnsi="Arial" w:cs="Arial"/>
          <w:color w:val="000000"/>
          <w:sz w:val="22"/>
          <w:szCs w:val="22"/>
        </w:rPr>
        <w:t>is more than $11.07</w:t>
      </w:r>
      <w:r w:rsidR="00BB6122">
        <w:rPr>
          <w:rFonts w:ascii="Arial" w:eastAsia="Times New Roman" w:hAnsi="Arial" w:cs="Arial"/>
          <w:color w:val="000000"/>
          <w:sz w:val="22"/>
          <w:szCs w:val="22"/>
        </w:rPr>
        <w:t xml:space="preserve"> (and other currencies too)</w:t>
      </w:r>
    </w:p>
    <w:p w14:paraId="7AF39C93" w14:textId="060E1EAB" w:rsidR="00151B36" w:rsidRDefault="00151B36" w:rsidP="00D17E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Interesting – If the price of the category is less than </w:t>
      </w:r>
      <w:r w:rsidR="00561CE5">
        <w:rPr>
          <w:rFonts w:ascii="Arial" w:eastAsia="Times New Roman" w:hAnsi="Arial" w:cs="Arial"/>
          <w:color w:val="000000"/>
          <w:sz w:val="22"/>
          <w:szCs w:val="22"/>
        </w:rPr>
        <w:t>&lt; 10.02, the seller rating is not considered</w:t>
      </w:r>
      <w:r w:rsidR="0099308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6BB31F4" w14:textId="0EC9EBD9" w:rsidR="00993081" w:rsidRPr="00D17E24" w:rsidRDefault="00993081" w:rsidP="00D17E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Uninteresting – Open Price is evaluated again based on the close price. This model </w:t>
      </w:r>
      <w:r w:rsidR="00A34AED">
        <w:rPr>
          <w:rFonts w:ascii="Arial" w:eastAsia="Times New Roman" w:hAnsi="Arial" w:cs="Arial"/>
          <w:color w:val="000000"/>
          <w:sz w:val="22"/>
          <w:szCs w:val="22"/>
        </w:rPr>
        <w:t xml:space="preserve">will not efficiently work for future auctions, where close price is not known. </w:t>
      </w:r>
    </w:p>
    <w:p w14:paraId="62A4B821" w14:textId="77777777" w:rsidR="00877933" w:rsidRDefault="009468E4" w:rsidP="00877933">
      <w:pPr>
        <w:pStyle w:val="Heading2"/>
        <w:rPr>
          <w:rFonts w:eastAsia="Times New Roman"/>
        </w:rPr>
      </w:pPr>
      <w:r w:rsidRPr="00F2596E">
        <w:rPr>
          <w:rFonts w:eastAsia="Times New Roman"/>
        </w:rPr>
        <w:t>b1. </w:t>
      </w:r>
    </w:p>
    <w:p w14:paraId="561DB3A5" w14:textId="66F1BB20" w:rsidR="009468E4" w:rsidRPr="00F2596E" w:rsidRDefault="009468E4" w:rsidP="00F259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Fit another classification tree (using the best-pruned tree, with a minimum number of records per leaf node =50 and seven displayed levels) this time only with predictors that can be used for predicting the outcome of a new auction. Describe the resulting tree in terms of rules.</w:t>
      </w:r>
    </w:p>
    <w:p w14:paraId="3615D4EB" w14:textId="1A909C4F" w:rsidR="004D0AE3" w:rsidRDefault="00B051C1" w:rsidP="00B051C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tree breaks at an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OpenPrice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of 2.44987</w:t>
      </w:r>
      <w:r w:rsidR="00E33FC7">
        <w:rPr>
          <w:rFonts w:ascii="Arial" w:eastAsia="Times New Roman" w:hAnsi="Arial" w:cs="Arial"/>
          <w:color w:val="000000"/>
          <w:sz w:val="22"/>
          <w:szCs w:val="22"/>
        </w:rPr>
        <w:t xml:space="preserve"> and if the price is less than this no other parameters are being considered to evaluate the competitiveness. </w:t>
      </w:r>
    </w:p>
    <w:p w14:paraId="38C94756" w14:textId="2E981C5E" w:rsidR="00E33FC7" w:rsidRDefault="00E33FC7" w:rsidP="00B051C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If the</w:t>
      </w:r>
      <w:r w:rsidR="002012D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012DE">
        <w:rPr>
          <w:rFonts w:ascii="Arial" w:eastAsia="Times New Roman" w:hAnsi="Arial" w:cs="Arial"/>
          <w:color w:val="000000"/>
          <w:sz w:val="22"/>
          <w:szCs w:val="22"/>
        </w:rPr>
        <w:t>OpenPrice</w:t>
      </w:r>
      <w:proofErr w:type="spellEnd"/>
      <w:r w:rsidR="002012DE">
        <w:rPr>
          <w:rFonts w:ascii="Arial" w:eastAsia="Times New Roman" w:hAnsi="Arial" w:cs="Arial"/>
          <w:color w:val="000000"/>
          <w:sz w:val="22"/>
          <w:szCs w:val="22"/>
        </w:rPr>
        <w:t xml:space="preserve"> is greater than 2.44987, the other parameters </w:t>
      </w:r>
      <w:proofErr w:type="spellStart"/>
      <w:r w:rsidR="002012DE">
        <w:rPr>
          <w:rFonts w:ascii="Arial" w:eastAsia="Times New Roman" w:hAnsi="Arial" w:cs="Arial"/>
          <w:color w:val="000000"/>
          <w:sz w:val="22"/>
          <w:szCs w:val="22"/>
        </w:rPr>
        <w:t>Catetory</w:t>
      </w:r>
      <w:proofErr w:type="spellEnd"/>
      <w:r w:rsidR="002012DE">
        <w:rPr>
          <w:rFonts w:ascii="Arial" w:eastAsia="Times New Roman" w:hAnsi="Arial" w:cs="Arial"/>
          <w:color w:val="000000"/>
          <w:sz w:val="22"/>
          <w:szCs w:val="22"/>
        </w:rPr>
        <w:t xml:space="preserve">, Seller Rating and Current are evaluated is the same order. </w:t>
      </w:r>
    </w:p>
    <w:p w14:paraId="1C8511CD" w14:textId="3D169F86" w:rsidR="00E674EE" w:rsidRPr="00B051C1" w:rsidRDefault="00E674EE" w:rsidP="00B051C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 UK and US, the auction is competitive when the seller rating is between 0 and </w:t>
      </w:r>
      <w:r w:rsidR="00025D1E">
        <w:rPr>
          <w:rFonts w:ascii="Arial" w:eastAsia="Times New Roman" w:hAnsi="Arial" w:cs="Arial"/>
          <w:color w:val="000000"/>
          <w:sz w:val="22"/>
          <w:szCs w:val="22"/>
        </w:rPr>
        <w:t>2432.5 and the price of the category is greater than 2.45 (Not for all the categories though</w:t>
      </w:r>
      <w:r w:rsidR="00093980">
        <w:rPr>
          <w:rFonts w:ascii="Arial" w:eastAsia="Times New Roman" w:hAnsi="Arial" w:cs="Arial"/>
          <w:color w:val="000000"/>
          <w:sz w:val="22"/>
          <w:szCs w:val="22"/>
        </w:rPr>
        <w:t xml:space="preserve">). </w:t>
      </w:r>
    </w:p>
    <w:p w14:paraId="199AA8FB" w14:textId="1B4F1925" w:rsidR="00864267" w:rsidRPr="009468E4" w:rsidRDefault="0004678B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846AC5" wp14:editId="2EA0F619">
            <wp:extent cx="5943600" cy="4432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6142" w14:textId="77777777" w:rsidR="00877933" w:rsidRDefault="009468E4" w:rsidP="00877933">
      <w:pPr>
        <w:pStyle w:val="Heading2"/>
        <w:rPr>
          <w:rFonts w:eastAsia="Times New Roman"/>
        </w:rPr>
      </w:pPr>
      <w:r w:rsidRPr="00F2596E">
        <w:rPr>
          <w:rFonts w:eastAsia="Times New Roman"/>
        </w:rPr>
        <w:t>b2. </w:t>
      </w:r>
    </w:p>
    <w:p w14:paraId="561DB3A6" w14:textId="4AC732B7" w:rsidR="009468E4" w:rsidRPr="00F2596E" w:rsidRDefault="009468E4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5B9BD5" w:themeColor="accent1"/>
          <w:sz w:val="22"/>
          <w:szCs w:val="22"/>
        </w:rPr>
      </w:pPr>
      <w:r w:rsidRPr="00F2596E">
        <w:rPr>
          <w:rFonts w:ascii="Arial" w:eastAsia="Times New Roman" w:hAnsi="Arial" w:cs="Arial"/>
          <w:color w:val="5B9BD5" w:themeColor="accent1"/>
          <w:sz w:val="22"/>
          <w:szCs w:val="22"/>
        </w:rPr>
        <w:t>Based on the tree you created in b1, what can you conclude from these data about how the chances of a competitive auction relate to the auction settings set by the seller (duration, opening price, ending day, currency)? What would you recommend for a seller as the strategy that will most likely lead to a competitive auction?</w:t>
      </w:r>
    </w:p>
    <w:p w14:paraId="5944DF44" w14:textId="4B54E658" w:rsidR="00F03CBF" w:rsidRDefault="00F03CBF" w:rsidP="009468E4">
      <w:pPr>
        <w:spacing w:before="100" w:beforeAutospacing="1" w:after="100" w:afterAutospacing="1" w:line="240" w:lineRule="auto"/>
        <w:ind w:left="225" w:right="225"/>
        <w:rPr>
          <w:rFonts w:ascii="Arial" w:eastAsia="Times New Roman" w:hAnsi="Arial" w:cs="Arial"/>
          <w:color w:val="000000"/>
          <w:sz w:val="22"/>
          <w:szCs w:val="22"/>
        </w:rPr>
      </w:pPr>
      <w:r w:rsidRPr="00F03CBF">
        <w:rPr>
          <w:rFonts w:ascii="Arial" w:eastAsia="Times New Roman" w:hAnsi="Arial" w:cs="Arial"/>
          <w:color w:val="000000"/>
          <w:sz w:val="22"/>
          <w:szCs w:val="22"/>
        </w:rPr>
        <w:t xml:space="preserve">To make the </w:t>
      </w:r>
      <w:r w:rsidR="000D5724">
        <w:rPr>
          <w:rFonts w:ascii="Arial" w:eastAsia="Times New Roman" w:hAnsi="Arial" w:cs="Arial"/>
          <w:color w:val="000000"/>
          <w:sz w:val="22"/>
          <w:szCs w:val="22"/>
        </w:rPr>
        <w:t>auction competitive</w:t>
      </w:r>
      <w:r w:rsidR="008E4DD1">
        <w:rPr>
          <w:rFonts w:ascii="Arial" w:eastAsia="Times New Roman" w:hAnsi="Arial" w:cs="Arial"/>
          <w:color w:val="000000"/>
          <w:sz w:val="22"/>
          <w:szCs w:val="22"/>
        </w:rPr>
        <w:t xml:space="preserve">, the seller must </w:t>
      </w:r>
    </w:p>
    <w:p w14:paraId="1315A107" w14:textId="659817E7" w:rsidR="008E4DD1" w:rsidRDefault="004221DB" w:rsidP="008E4D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price of the category must be less than </w:t>
      </w:r>
      <w:r w:rsidR="00E10AEE">
        <w:rPr>
          <w:rFonts w:ascii="Arial" w:eastAsia="Times New Roman" w:hAnsi="Arial" w:cs="Arial"/>
          <w:color w:val="000000"/>
          <w:sz w:val="22"/>
          <w:szCs w:val="22"/>
        </w:rPr>
        <w:t>1.22999</w:t>
      </w:r>
    </w:p>
    <w:p w14:paraId="16D9E950" w14:textId="48F390CF" w:rsidR="00E10AEE" w:rsidRDefault="00E10AEE" w:rsidP="008E4D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categories must not be </w:t>
      </w:r>
      <w:r w:rsidR="00150761">
        <w:rPr>
          <w:rFonts w:ascii="Arial" w:eastAsia="Times New Roman" w:hAnsi="Arial" w:cs="Arial"/>
          <w:color w:val="000000"/>
          <w:sz w:val="22"/>
          <w:szCs w:val="22"/>
        </w:rPr>
        <w:t>Automotive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Clothing/Accessories, </w:t>
      </w:r>
      <w:r w:rsidR="005D4C06">
        <w:rPr>
          <w:rFonts w:ascii="Arial" w:eastAsia="Times New Roman" w:hAnsi="Arial" w:cs="Arial"/>
          <w:color w:val="000000"/>
          <w:sz w:val="22"/>
          <w:szCs w:val="22"/>
        </w:rPr>
        <w:t xml:space="preserve">Coins/Stamps, </w:t>
      </w:r>
      <w:r w:rsidR="00A43E7B">
        <w:rPr>
          <w:rFonts w:ascii="Arial" w:eastAsia="Times New Roman" w:hAnsi="Arial" w:cs="Arial"/>
          <w:color w:val="000000"/>
          <w:sz w:val="22"/>
          <w:szCs w:val="22"/>
        </w:rPr>
        <w:t xml:space="preserve">Health/Beauty, Jewelry, Music/Movie/Game, </w:t>
      </w:r>
      <w:r w:rsidR="00FA5915">
        <w:rPr>
          <w:rFonts w:ascii="Arial" w:eastAsia="Times New Roman" w:hAnsi="Arial" w:cs="Arial"/>
          <w:color w:val="000000"/>
          <w:sz w:val="22"/>
          <w:szCs w:val="22"/>
        </w:rPr>
        <w:t xml:space="preserve">Pottery/Glass. </w:t>
      </w:r>
    </w:p>
    <w:p w14:paraId="3F4F9E04" w14:textId="2A5C70B1" w:rsidR="00F0661E" w:rsidRDefault="00F0661E" w:rsidP="008E4D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Seller </w:t>
      </w:r>
      <w:r w:rsidR="007708A8">
        <w:rPr>
          <w:rFonts w:ascii="Arial" w:eastAsia="Times New Roman" w:hAnsi="Arial" w:cs="Arial"/>
          <w:color w:val="000000"/>
          <w:sz w:val="22"/>
          <w:szCs w:val="22"/>
        </w:rPr>
        <w:t>must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wait to gain a rating of </w:t>
      </w:r>
      <w:r w:rsidR="00DA36B6">
        <w:rPr>
          <w:rFonts w:ascii="Arial" w:eastAsia="Times New Roman" w:hAnsi="Arial" w:cs="Arial"/>
          <w:color w:val="000000"/>
          <w:sz w:val="22"/>
          <w:szCs w:val="22"/>
        </w:rPr>
        <w:t xml:space="preserve">2432.5 before selling categories expensive than 2.45. </w:t>
      </w:r>
    </w:p>
    <w:p w14:paraId="375C092C" w14:textId="5A2CEA71" w:rsidR="007708A8" w:rsidRPr="008E4DD1" w:rsidRDefault="007708A8" w:rsidP="008E4D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Seller need to focus his sales in US and </w:t>
      </w:r>
      <w:r w:rsidR="00150761">
        <w:rPr>
          <w:rFonts w:ascii="Arial" w:eastAsia="Times New Roman" w:hAnsi="Arial" w:cs="Arial"/>
          <w:color w:val="000000"/>
          <w:sz w:val="22"/>
          <w:szCs w:val="22"/>
        </w:rPr>
        <w:t xml:space="preserve">UK. </w:t>
      </w:r>
    </w:p>
    <w:p w14:paraId="561DB3A7" w14:textId="77777777" w:rsidR="00054981" w:rsidRPr="009468E4" w:rsidRDefault="00054981">
      <w:pPr>
        <w:rPr>
          <w:sz w:val="22"/>
          <w:szCs w:val="22"/>
        </w:rPr>
      </w:pPr>
    </w:p>
    <w:sectPr w:rsidR="00054981" w:rsidRPr="0094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433"/>
    <w:multiLevelType w:val="hybridMultilevel"/>
    <w:tmpl w:val="10587EF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2B338C5"/>
    <w:multiLevelType w:val="hybridMultilevel"/>
    <w:tmpl w:val="42CC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004C"/>
    <w:multiLevelType w:val="multilevel"/>
    <w:tmpl w:val="1E0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73EE9"/>
    <w:multiLevelType w:val="hybridMultilevel"/>
    <w:tmpl w:val="5438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91DF3"/>
    <w:multiLevelType w:val="hybridMultilevel"/>
    <w:tmpl w:val="89D07E14"/>
    <w:lvl w:ilvl="0" w:tplc="6C64D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B23D1"/>
    <w:multiLevelType w:val="multilevel"/>
    <w:tmpl w:val="937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809D0"/>
    <w:multiLevelType w:val="hybridMultilevel"/>
    <w:tmpl w:val="3DDA31BC"/>
    <w:lvl w:ilvl="0" w:tplc="239C63E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6E191151"/>
    <w:multiLevelType w:val="hybridMultilevel"/>
    <w:tmpl w:val="0756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C1907"/>
    <w:multiLevelType w:val="hybridMultilevel"/>
    <w:tmpl w:val="992EE11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E4"/>
    <w:rsid w:val="00003694"/>
    <w:rsid w:val="00006CB1"/>
    <w:rsid w:val="0002257B"/>
    <w:rsid w:val="00025D1E"/>
    <w:rsid w:val="00036ABC"/>
    <w:rsid w:val="000459D2"/>
    <w:rsid w:val="0004678B"/>
    <w:rsid w:val="00054981"/>
    <w:rsid w:val="00093980"/>
    <w:rsid w:val="000C250F"/>
    <w:rsid w:val="000C27F9"/>
    <w:rsid w:val="000D4243"/>
    <w:rsid w:val="000D5724"/>
    <w:rsid w:val="000D7B26"/>
    <w:rsid w:val="000F517C"/>
    <w:rsid w:val="00143CBD"/>
    <w:rsid w:val="001451B4"/>
    <w:rsid w:val="00150761"/>
    <w:rsid w:val="00151B36"/>
    <w:rsid w:val="001523F5"/>
    <w:rsid w:val="001546DE"/>
    <w:rsid w:val="001577CE"/>
    <w:rsid w:val="001632CC"/>
    <w:rsid w:val="001670E1"/>
    <w:rsid w:val="001D5169"/>
    <w:rsid w:val="001E396D"/>
    <w:rsid w:val="001E46F9"/>
    <w:rsid w:val="001E5526"/>
    <w:rsid w:val="001F1C35"/>
    <w:rsid w:val="002012DE"/>
    <w:rsid w:val="002162DD"/>
    <w:rsid w:val="002603C0"/>
    <w:rsid w:val="00265504"/>
    <w:rsid w:val="00274163"/>
    <w:rsid w:val="002D22CA"/>
    <w:rsid w:val="00312CE7"/>
    <w:rsid w:val="00322BCE"/>
    <w:rsid w:val="0034647B"/>
    <w:rsid w:val="00356039"/>
    <w:rsid w:val="00392EA5"/>
    <w:rsid w:val="003A2F8C"/>
    <w:rsid w:val="004221DB"/>
    <w:rsid w:val="004554F8"/>
    <w:rsid w:val="00464949"/>
    <w:rsid w:val="004720B4"/>
    <w:rsid w:val="00484DD2"/>
    <w:rsid w:val="00487FB5"/>
    <w:rsid w:val="0049166A"/>
    <w:rsid w:val="004A052B"/>
    <w:rsid w:val="004D0AE3"/>
    <w:rsid w:val="00545A5F"/>
    <w:rsid w:val="00561CE5"/>
    <w:rsid w:val="005838B1"/>
    <w:rsid w:val="0059615E"/>
    <w:rsid w:val="005C1C1A"/>
    <w:rsid w:val="005D4C06"/>
    <w:rsid w:val="005E24A6"/>
    <w:rsid w:val="006647D5"/>
    <w:rsid w:val="00694928"/>
    <w:rsid w:val="00696680"/>
    <w:rsid w:val="00703E7A"/>
    <w:rsid w:val="00713884"/>
    <w:rsid w:val="00734561"/>
    <w:rsid w:val="00736BA5"/>
    <w:rsid w:val="0073716A"/>
    <w:rsid w:val="007708A8"/>
    <w:rsid w:val="00792576"/>
    <w:rsid w:val="007A4D69"/>
    <w:rsid w:val="007B5236"/>
    <w:rsid w:val="008453A6"/>
    <w:rsid w:val="00845749"/>
    <w:rsid w:val="00864267"/>
    <w:rsid w:val="00877933"/>
    <w:rsid w:val="0088277A"/>
    <w:rsid w:val="008868AF"/>
    <w:rsid w:val="00886DE3"/>
    <w:rsid w:val="008A76C2"/>
    <w:rsid w:val="008D5481"/>
    <w:rsid w:val="008E06B9"/>
    <w:rsid w:val="008E4DD1"/>
    <w:rsid w:val="008F175F"/>
    <w:rsid w:val="009468E4"/>
    <w:rsid w:val="00946A6E"/>
    <w:rsid w:val="009512CE"/>
    <w:rsid w:val="00973FCF"/>
    <w:rsid w:val="00974160"/>
    <w:rsid w:val="00993081"/>
    <w:rsid w:val="009E4C57"/>
    <w:rsid w:val="009F53ED"/>
    <w:rsid w:val="00A34AED"/>
    <w:rsid w:val="00A43E7B"/>
    <w:rsid w:val="00A75DF8"/>
    <w:rsid w:val="00A818FB"/>
    <w:rsid w:val="00AA4072"/>
    <w:rsid w:val="00AB4A77"/>
    <w:rsid w:val="00B051C1"/>
    <w:rsid w:val="00B27CF6"/>
    <w:rsid w:val="00B663BC"/>
    <w:rsid w:val="00B66E86"/>
    <w:rsid w:val="00B858C7"/>
    <w:rsid w:val="00BA5A78"/>
    <w:rsid w:val="00BB6122"/>
    <w:rsid w:val="00BF2FF8"/>
    <w:rsid w:val="00C002A7"/>
    <w:rsid w:val="00C12C36"/>
    <w:rsid w:val="00C174BC"/>
    <w:rsid w:val="00C5456E"/>
    <w:rsid w:val="00C62452"/>
    <w:rsid w:val="00C62719"/>
    <w:rsid w:val="00C91811"/>
    <w:rsid w:val="00CE2453"/>
    <w:rsid w:val="00D14BA0"/>
    <w:rsid w:val="00D17E24"/>
    <w:rsid w:val="00D37FC2"/>
    <w:rsid w:val="00D427A6"/>
    <w:rsid w:val="00D66B93"/>
    <w:rsid w:val="00D90707"/>
    <w:rsid w:val="00DA36B6"/>
    <w:rsid w:val="00DC5477"/>
    <w:rsid w:val="00DF7E75"/>
    <w:rsid w:val="00E10AEE"/>
    <w:rsid w:val="00E33FC7"/>
    <w:rsid w:val="00E674EE"/>
    <w:rsid w:val="00E72F67"/>
    <w:rsid w:val="00EA15AB"/>
    <w:rsid w:val="00EA3B1C"/>
    <w:rsid w:val="00EC718B"/>
    <w:rsid w:val="00ED7043"/>
    <w:rsid w:val="00F03CBF"/>
    <w:rsid w:val="00F05D0F"/>
    <w:rsid w:val="00F0661E"/>
    <w:rsid w:val="00F167AB"/>
    <w:rsid w:val="00F25245"/>
    <w:rsid w:val="00F2596E"/>
    <w:rsid w:val="00F310DD"/>
    <w:rsid w:val="00F3652D"/>
    <w:rsid w:val="00F62CCD"/>
    <w:rsid w:val="00F632A7"/>
    <w:rsid w:val="00FA5915"/>
    <w:rsid w:val="00FE0120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B38E"/>
  <w15:chartTrackingRefBased/>
  <w15:docId w15:val="{517204F8-331E-4E8A-B985-FFC63A20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E4"/>
  </w:style>
  <w:style w:type="paragraph" w:styleId="Heading1">
    <w:name w:val="heading 1"/>
    <w:basedOn w:val="Normal"/>
    <w:next w:val="Normal"/>
    <w:link w:val="Heading1Char"/>
    <w:uiPriority w:val="9"/>
    <w:qFormat/>
    <w:rsid w:val="009468E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8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8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E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8E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468E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8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68E4"/>
    <w:rPr>
      <w:i/>
      <w:iCs/>
      <w:color w:val="70AD47" w:themeColor="accent6"/>
    </w:rPr>
  </w:style>
  <w:style w:type="character" w:styleId="Strong">
    <w:name w:val="Strong"/>
    <w:basedOn w:val="DefaultParagraphFont"/>
    <w:uiPriority w:val="22"/>
    <w:qFormat/>
    <w:rsid w:val="009468E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E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E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E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E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E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E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8E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468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68E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468E4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9468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68E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468E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E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E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8E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6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8E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468E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468E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8E4"/>
    <w:pPr>
      <w:outlineLvl w:val="9"/>
    </w:pPr>
  </w:style>
  <w:style w:type="paragraph" w:styleId="ListParagraph">
    <w:name w:val="List Paragraph"/>
    <w:basedOn w:val="Normal"/>
    <w:uiPriority w:val="34"/>
    <w:qFormat/>
    <w:rsid w:val="00E7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9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Setty, P (Praveen)</cp:lastModifiedBy>
  <cp:revision>97</cp:revision>
  <dcterms:created xsi:type="dcterms:W3CDTF">2020-07-19T05:23:00Z</dcterms:created>
  <dcterms:modified xsi:type="dcterms:W3CDTF">2020-07-20T02:57:00Z</dcterms:modified>
</cp:coreProperties>
</file>