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5DBA2" w14:textId="77777777" w:rsidR="00F76F50" w:rsidRDefault="00F76F50" w:rsidP="00F76F50">
      <w:r w:rsidRPr="003E2937">
        <w:rPr>
          <w:b/>
          <w:bCs/>
        </w:rPr>
        <w:t xml:space="preserve">Approach 1: </w:t>
      </w:r>
      <w:r w:rsidRPr="003E2937">
        <w:t>Utilizing Published Event Logs for Audit Tracking</w:t>
      </w:r>
    </w:p>
    <w:p w14:paraId="790E2C39" w14:textId="36AF6D63" w:rsidR="00F76F50" w:rsidRDefault="00F76F50" w:rsidP="00F76F50">
      <w:pPr>
        <w:numPr>
          <w:ilvl w:val="0"/>
          <w:numId w:val="2"/>
        </w:numPr>
      </w:pPr>
      <w:r w:rsidRPr="001F31B9">
        <w:t xml:space="preserve">Databricks now enables publishing DLT pipeline event logs to the </w:t>
      </w:r>
      <w:proofErr w:type="spellStart"/>
      <w:r w:rsidRPr="001F31B9">
        <w:t>Metastore</w:t>
      </w:r>
      <w:proofErr w:type="spellEnd"/>
      <w:r w:rsidRPr="001F31B9">
        <w:t>, making them accessible to all users. This overcomes the limitation of directly accessing the event log API, which is restricted to the respective pipeline owner.</w:t>
      </w:r>
    </w:p>
    <w:p w14:paraId="4820CDD9" w14:textId="529A2C92" w:rsidR="00F76F50" w:rsidRDefault="00F76F50" w:rsidP="00F76F50">
      <w:pPr>
        <w:numPr>
          <w:ilvl w:val="0"/>
          <w:numId w:val="2"/>
        </w:numPr>
      </w:pPr>
      <w:r w:rsidRPr="001F31B9">
        <w:t xml:space="preserve">We can retrieve table-level execution details at the </w:t>
      </w:r>
      <w:proofErr w:type="gramStart"/>
      <w:r w:rsidRPr="001F31B9">
        <w:t>Bronze</w:t>
      </w:r>
      <w:proofErr w:type="gramEnd"/>
      <w:r w:rsidRPr="001F31B9">
        <w:t xml:space="preserve"> layer from the published event logs by leveraging </w:t>
      </w:r>
      <w:r w:rsidRPr="001F31B9">
        <w:rPr>
          <w:b/>
          <w:bCs/>
        </w:rPr>
        <w:t>DLT Pipeline Id</w:t>
      </w:r>
      <w:r w:rsidRPr="001F31B9">
        <w:t xml:space="preserve"> and </w:t>
      </w:r>
      <w:r w:rsidRPr="001F31B9">
        <w:rPr>
          <w:b/>
          <w:bCs/>
        </w:rPr>
        <w:t>DLT Run ID</w:t>
      </w:r>
      <w:r w:rsidRPr="001F31B9">
        <w:t>.</w:t>
      </w:r>
    </w:p>
    <w:p w14:paraId="1201BAA1" w14:textId="503DD858" w:rsidR="00F76F50" w:rsidRDefault="00F76F50" w:rsidP="00F76F50">
      <w:pPr>
        <w:pStyle w:val="ListParagraph"/>
        <w:numPr>
          <w:ilvl w:val="0"/>
          <w:numId w:val="2"/>
        </w:numPr>
      </w:pPr>
      <w:r w:rsidRPr="008A38F5">
        <w:t>Generic Workflow:</w:t>
      </w:r>
    </w:p>
    <w:p w14:paraId="23A440DD" w14:textId="0B801FB5" w:rsidR="00F76F50" w:rsidRDefault="00F76F50" w:rsidP="00F76F50">
      <w:r w:rsidRPr="00532542">
        <w:rPr>
          <w:b/>
          <w:bCs/>
        </w:rPr>
        <w:drawing>
          <wp:inline distT="0" distB="0" distL="0" distR="0" wp14:anchorId="4D4D12EF" wp14:editId="3690A901">
            <wp:extent cx="5943600" cy="1861820"/>
            <wp:effectExtent l="0" t="0" r="0" b="5080"/>
            <wp:docPr id="17769129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2904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DD3" w14:textId="77777777" w:rsidR="00F76F50" w:rsidRDefault="00F76F50" w:rsidP="00F76F50">
      <w:pPr>
        <w:pStyle w:val="ListParagraph"/>
        <w:numPr>
          <w:ilvl w:val="0"/>
          <w:numId w:val="3"/>
        </w:numPr>
      </w:pPr>
      <w:r w:rsidRPr="00B545C0">
        <w:t xml:space="preserve">Based on the above generic workflow, the following explains the </w:t>
      </w:r>
      <w:proofErr w:type="gramStart"/>
      <w:r w:rsidRPr="00B545C0">
        <w:t>Bronze</w:t>
      </w:r>
      <w:proofErr w:type="gramEnd"/>
      <w:r w:rsidRPr="00B545C0">
        <w:t xml:space="preserve"> notebook task and its role in implementing the audit mechanism for this approach.</w:t>
      </w:r>
    </w:p>
    <w:p w14:paraId="1F0FE0B1" w14:textId="21A13AAE" w:rsidR="00F76F50" w:rsidRPr="003E2937" w:rsidRDefault="00F76F50" w:rsidP="00F76F50">
      <w:r w:rsidRPr="000265E8">
        <w:drawing>
          <wp:inline distT="0" distB="0" distL="0" distR="0" wp14:anchorId="4154EBF2" wp14:editId="71EC685F">
            <wp:extent cx="5477639" cy="1686160"/>
            <wp:effectExtent l="0" t="0" r="8890" b="9525"/>
            <wp:docPr id="123465293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5293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1001" w14:textId="6B9BD2F2" w:rsidR="00F76F50" w:rsidRPr="008A38F5" w:rsidRDefault="00F76F50" w:rsidP="00F76F50">
      <w:pPr>
        <w:numPr>
          <w:ilvl w:val="0"/>
          <w:numId w:val="2"/>
        </w:numPr>
      </w:pPr>
      <w:r w:rsidRPr="008A38F5">
        <w:t>After triggering the DLT pipeline, the Bronze Notebook task will remain in a running state until the execution of the DLT pipeline completes.</w:t>
      </w:r>
      <w:r>
        <w:t xml:space="preserve"> </w:t>
      </w:r>
      <w:r w:rsidRPr="008A38F5">
        <w:t>This will be achieved by continuously polling the DLT API in a loop to monitor the pipeline's status.</w:t>
      </w:r>
    </w:p>
    <w:p w14:paraId="1761DF52" w14:textId="4CBB42C7" w:rsidR="00F76F50" w:rsidRDefault="00F76F50" w:rsidP="00F76F50">
      <w:pPr>
        <w:numPr>
          <w:ilvl w:val="0"/>
          <w:numId w:val="2"/>
        </w:numPr>
      </w:pPr>
      <w:r w:rsidRPr="008A38F5">
        <w:t xml:space="preserve">Once the DLT pipeline execution ends, logs for the current run will be retrieved from the </w:t>
      </w:r>
      <w:r>
        <w:t xml:space="preserve">published </w:t>
      </w:r>
      <w:r w:rsidRPr="008A38F5">
        <w:t>event logs.</w:t>
      </w:r>
      <w:r>
        <w:t xml:space="preserve"> </w:t>
      </w:r>
      <w:r w:rsidRPr="008A38F5">
        <w:t xml:space="preserve">The extracted logs will then be written </w:t>
      </w:r>
      <w:proofErr w:type="gramStart"/>
      <w:r w:rsidRPr="008A38F5">
        <w:t>to</w:t>
      </w:r>
      <w:proofErr w:type="gramEnd"/>
      <w:r w:rsidRPr="008A38F5">
        <w:t xml:space="preserve"> the </w:t>
      </w:r>
      <w:proofErr w:type="spellStart"/>
      <w:r w:rsidRPr="00F76F50">
        <w:rPr>
          <w:b/>
          <w:bCs/>
        </w:rPr>
        <w:t>PAC_Bronze_Audit</w:t>
      </w:r>
      <w:proofErr w:type="spellEnd"/>
      <w:r w:rsidRPr="008A38F5">
        <w:t xml:space="preserve"> table</w:t>
      </w:r>
      <w:r>
        <w:t xml:space="preserve"> from </w:t>
      </w:r>
      <w:proofErr w:type="gramStart"/>
      <w:r>
        <w:t>Bronze</w:t>
      </w:r>
      <w:proofErr w:type="gramEnd"/>
      <w:r>
        <w:t xml:space="preserve"> notebook</w:t>
      </w:r>
      <w:r w:rsidRPr="008A38F5">
        <w:t>.</w:t>
      </w:r>
    </w:p>
    <w:p w14:paraId="219FD403" w14:textId="77777777" w:rsidR="00F76F50" w:rsidRDefault="00F76F50" w:rsidP="00F76F50">
      <w:pPr>
        <w:rPr>
          <w:b/>
          <w:bCs/>
        </w:rPr>
      </w:pPr>
    </w:p>
    <w:p w14:paraId="1D951D97" w14:textId="7FACC21D" w:rsidR="00F76F50" w:rsidRDefault="00F76F50" w:rsidP="00F76F50">
      <w:pPr>
        <w:rPr>
          <w:b/>
          <w:bCs/>
        </w:rPr>
      </w:pPr>
      <w:r>
        <w:rPr>
          <w:b/>
          <w:bCs/>
        </w:rPr>
        <w:lastRenderedPageBreak/>
        <w:t>Example –</w:t>
      </w:r>
    </w:p>
    <w:p w14:paraId="7C9CDDED" w14:textId="77777777" w:rsidR="00F76F50" w:rsidRDefault="00F76F50" w:rsidP="00F76F50">
      <w:pPr>
        <w:rPr>
          <w:b/>
          <w:bCs/>
        </w:rPr>
      </w:pPr>
      <w:r w:rsidRPr="00710585">
        <w:rPr>
          <w:b/>
          <w:bCs/>
          <w:noProof/>
        </w:rPr>
        <w:drawing>
          <wp:inline distT="0" distB="0" distL="0" distR="0" wp14:anchorId="2BE57D94" wp14:editId="1E0F5D93">
            <wp:extent cx="5943600" cy="244475"/>
            <wp:effectExtent l="0" t="0" r="0" b="3175"/>
            <wp:docPr id="19277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4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EE9D" w14:textId="7A3C337B" w:rsidR="00F76F50" w:rsidRDefault="00F76F50" w:rsidP="00F76F50">
      <w:pPr>
        <w:rPr>
          <w:b/>
          <w:bCs/>
        </w:rPr>
      </w:pPr>
      <w:r w:rsidRPr="001527E4">
        <w:rPr>
          <w:b/>
          <w:bCs/>
        </w:rPr>
        <w:t xml:space="preserve">Limitations of Approach </w:t>
      </w:r>
      <w:r>
        <w:rPr>
          <w:b/>
          <w:bCs/>
        </w:rPr>
        <w:t>1</w:t>
      </w:r>
      <w:r w:rsidRPr="001527E4">
        <w:rPr>
          <w:b/>
          <w:bCs/>
        </w:rPr>
        <w:t>:</w:t>
      </w:r>
    </w:p>
    <w:p w14:paraId="79969468" w14:textId="5A89D25E" w:rsidR="00F76F50" w:rsidRPr="00F76F50" w:rsidRDefault="00F76F50" w:rsidP="00F76F50">
      <w:pPr>
        <w:numPr>
          <w:ilvl w:val="0"/>
          <w:numId w:val="2"/>
        </w:numPr>
      </w:pPr>
      <w:r w:rsidRPr="001527E4">
        <w:t>The Bronze notebook task will remain in a running state until the associated DLT pipeline completes execution. This leads to additional costs as one cluster remains active for monitoring</w:t>
      </w:r>
      <w:r>
        <w:t xml:space="preserve"> the DLT pipeline run</w:t>
      </w:r>
      <w:r w:rsidRPr="001527E4">
        <w:t>, while another cluster runs the actual DLT pipeline execution.</w:t>
      </w:r>
    </w:p>
    <w:p w14:paraId="28FAD685" w14:textId="77777777" w:rsidR="00F76F50" w:rsidRDefault="00F76F50" w:rsidP="00F76F50">
      <w:pPr>
        <w:rPr>
          <w:b/>
          <w:bCs/>
        </w:rPr>
      </w:pPr>
      <w:r>
        <w:rPr>
          <w:b/>
          <w:bCs/>
        </w:rPr>
        <w:t xml:space="preserve">How Event </w:t>
      </w:r>
      <w:proofErr w:type="gramStart"/>
      <w:r>
        <w:rPr>
          <w:b/>
          <w:bCs/>
        </w:rPr>
        <w:t>logs</w:t>
      </w:r>
      <w:proofErr w:type="gramEnd"/>
      <w:r>
        <w:rPr>
          <w:b/>
          <w:bCs/>
        </w:rPr>
        <w:t xml:space="preserve"> get published?</w:t>
      </w:r>
    </w:p>
    <w:p w14:paraId="3A0464E3" w14:textId="77777777" w:rsidR="00F76F50" w:rsidRDefault="00F76F50" w:rsidP="00F76F50">
      <w:pPr>
        <w:pStyle w:val="ListParagraph"/>
        <w:numPr>
          <w:ilvl w:val="0"/>
          <w:numId w:val="1"/>
        </w:numPr>
      </w:pPr>
      <w:r w:rsidRPr="00BF23B6">
        <w:t xml:space="preserve">The owner of the pipeline can publish the event log as a public Delta table by toggling the Publish event log to </w:t>
      </w:r>
      <w:proofErr w:type="spellStart"/>
      <w:r w:rsidRPr="00BF23B6">
        <w:t>metastore</w:t>
      </w:r>
      <w:proofErr w:type="spellEnd"/>
      <w:r w:rsidRPr="00BF23B6">
        <w:t> option</w:t>
      </w:r>
      <w:r>
        <w:t xml:space="preserve"> in the </w:t>
      </w:r>
      <w:r w:rsidRPr="001248C4">
        <w:rPr>
          <w:b/>
          <w:bCs/>
        </w:rPr>
        <w:t>Advanced</w:t>
      </w:r>
      <w:r w:rsidRPr="00BF23B6">
        <w:t xml:space="preserve"> section of the pipeline configuration. </w:t>
      </w:r>
      <w:r>
        <w:t>We</w:t>
      </w:r>
      <w:r w:rsidRPr="00BF23B6">
        <w:t xml:space="preserve"> can optionally specify a new table name,</w:t>
      </w:r>
      <w:r>
        <w:t xml:space="preserve"> catalog</w:t>
      </w:r>
      <w:r w:rsidRPr="00BF23B6">
        <w:t>, and schema for the event log</w:t>
      </w:r>
      <w:r>
        <w:t xml:space="preserve">. Refer the </w:t>
      </w:r>
      <w:proofErr w:type="gramStart"/>
      <w:r>
        <w:t>below screenshot</w:t>
      </w:r>
      <w:proofErr w:type="gramEnd"/>
      <w:r>
        <w:t>.</w:t>
      </w:r>
    </w:p>
    <w:p w14:paraId="559F379F" w14:textId="77777777" w:rsidR="00F76F50" w:rsidRDefault="00F76F50" w:rsidP="00F76F50">
      <w:pPr>
        <w:pStyle w:val="ListParagraph"/>
        <w:ind w:left="1080"/>
      </w:pPr>
      <w:r w:rsidRPr="00062C83">
        <w:rPr>
          <w:noProof/>
        </w:rPr>
        <w:drawing>
          <wp:inline distT="0" distB="0" distL="0" distR="0" wp14:anchorId="4E859CD4" wp14:editId="76DE5557">
            <wp:extent cx="2579298" cy="1095375"/>
            <wp:effectExtent l="0" t="0" r="0" b="0"/>
            <wp:docPr id="357759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594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450" cy="11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C2D3" w14:textId="2FD30B16" w:rsidR="00F76F50" w:rsidRDefault="00F76F50" w:rsidP="00F76F50">
      <w:pPr>
        <w:numPr>
          <w:ilvl w:val="0"/>
          <w:numId w:val="2"/>
        </w:numPr>
      </w:pPr>
      <w:r>
        <w:t xml:space="preserve">When specifying the table name, schema, and catalog, a physical Delta table is created in Unity Catalog. Logs can then be extracted from this table and written to the actual audit table, </w:t>
      </w:r>
      <w:r w:rsidRPr="00E606FA">
        <w:t xml:space="preserve">as demonstrated in Approach </w:t>
      </w:r>
      <w:r w:rsidR="00EC107C">
        <w:t>1</w:t>
      </w:r>
      <w:r>
        <w:t>.</w:t>
      </w:r>
    </w:p>
    <w:p w14:paraId="3BB0005B" w14:textId="77777777" w:rsidR="00F76F50" w:rsidRDefault="00F76F50" w:rsidP="00F76F50">
      <w:pPr>
        <w:numPr>
          <w:ilvl w:val="0"/>
          <w:numId w:val="2"/>
        </w:numPr>
      </w:pPr>
      <w:r>
        <w:t>If a new table name, catalog, and schema are not specified, then a table named as ‘</w:t>
      </w:r>
      <w:proofErr w:type="spellStart"/>
      <w:r>
        <w:t>event_log</w:t>
      </w:r>
      <w:proofErr w:type="spellEnd"/>
      <w:r>
        <w:t>_&lt;</w:t>
      </w:r>
      <w:proofErr w:type="spellStart"/>
      <w:r>
        <w:t>pipeline_id</w:t>
      </w:r>
      <w:proofErr w:type="spellEnd"/>
      <w:r>
        <w:t>&gt;’ will get created in the default schema and catalog named set in the pipeline configuration.</w:t>
      </w:r>
    </w:p>
    <w:p w14:paraId="6A0A6585" w14:textId="77777777" w:rsidR="00F76F50" w:rsidRDefault="00F76F50" w:rsidP="00F76F50">
      <w:pPr>
        <w:pStyle w:val="ListParagraph"/>
        <w:ind w:left="1080"/>
      </w:pPr>
      <w:r w:rsidRPr="00594ABB">
        <w:rPr>
          <w:noProof/>
        </w:rPr>
        <w:drawing>
          <wp:inline distT="0" distB="0" distL="0" distR="0" wp14:anchorId="4A7CF320" wp14:editId="3687EAAB">
            <wp:extent cx="5193102" cy="1625618"/>
            <wp:effectExtent l="0" t="0" r="7620" b="0"/>
            <wp:docPr id="1545735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353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51" cy="16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43B7" w14:textId="77777777" w:rsidR="00F76F50" w:rsidRDefault="00F76F50" w:rsidP="00F76F50">
      <w:pPr>
        <w:pStyle w:val="ListParagraph"/>
        <w:ind w:left="1080"/>
      </w:pPr>
    </w:p>
    <w:p w14:paraId="244DB260" w14:textId="77777777" w:rsidR="00F76F50" w:rsidRDefault="00F76F50" w:rsidP="00F76F50">
      <w:pPr>
        <w:pStyle w:val="ListParagraph"/>
        <w:ind w:left="1080"/>
      </w:pPr>
    </w:p>
    <w:p w14:paraId="71A179B3" w14:textId="3A74B29C" w:rsidR="00F76F50" w:rsidRPr="000C24BD" w:rsidRDefault="00F76F50" w:rsidP="00F76F50">
      <w:r w:rsidRPr="000C24BD">
        <w:rPr>
          <w:b/>
          <w:bCs/>
        </w:rPr>
        <w:lastRenderedPageBreak/>
        <w:t xml:space="preserve">Approach </w:t>
      </w:r>
      <w:r w:rsidR="00EC107C">
        <w:rPr>
          <w:b/>
          <w:bCs/>
        </w:rPr>
        <w:t>2</w:t>
      </w:r>
      <w:r w:rsidRPr="000C24BD">
        <w:rPr>
          <w:b/>
          <w:bCs/>
        </w:rPr>
        <w:t xml:space="preserve">: </w:t>
      </w:r>
      <w:r w:rsidRPr="00230B74">
        <w:t xml:space="preserve">Implementing custom </w:t>
      </w:r>
      <w:r>
        <w:t>audit logic</w:t>
      </w:r>
    </w:p>
    <w:p w14:paraId="5AC6C5AE" w14:textId="77777777" w:rsidR="00F76F50" w:rsidRPr="000C24BD" w:rsidRDefault="00F76F50" w:rsidP="00F76F50">
      <w:pPr>
        <w:pStyle w:val="ListParagraph"/>
        <w:ind w:left="1080"/>
        <w:rPr>
          <w:b/>
          <w:bCs/>
        </w:rPr>
      </w:pPr>
      <w:r w:rsidRPr="00ED058C">
        <w:rPr>
          <w:b/>
          <w:bCs/>
          <w:noProof/>
        </w:rPr>
        <w:drawing>
          <wp:inline distT="0" distB="0" distL="0" distR="0" wp14:anchorId="474D664D" wp14:editId="7F5A8118">
            <wp:extent cx="5401429" cy="1352739"/>
            <wp:effectExtent l="0" t="0" r="0" b="0"/>
            <wp:docPr id="624364182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64182" name="Picture 1" descr="A white rectangular box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9595" w14:textId="77777777" w:rsidR="00F76F50" w:rsidRPr="000C24BD" w:rsidRDefault="00F76F50" w:rsidP="00F76F50">
      <w:pPr>
        <w:numPr>
          <w:ilvl w:val="0"/>
          <w:numId w:val="2"/>
        </w:numPr>
      </w:pPr>
      <w:r w:rsidRPr="000C24BD">
        <w:t xml:space="preserve">The goal is to track and log table level execution details, including </w:t>
      </w:r>
      <w:proofErr w:type="spellStart"/>
      <w:r w:rsidRPr="000C24BD">
        <w:t>Job_id</w:t>
      </w:r>
      <w:proofErr w:type="spellEnd"/>
      <w:r w:rsidRPr="000C24BD">
        <w:t xml:space="preserve">, </w:t>
      </w:r>
      <w:proofErr w:type="spellStart"/>
      <w:r w:rsidRPr="000C24BD">
        <w:t>Job_Run_id</w:t>
      </w:r>
      <w:proofErr w:type="spellEnd"/>
      <w:r w:rsidRPr="000C24BD">
        <w:t xml:space="preserve">, </w:t>
      </w:r>
      <w:proofErr w:type="spellStart"/>
      <w:r w:rsidRPr="000C24BD">
        <w:t>Task_Run_id</w:t>
      </w:r>
      <w:proofErr w:type="spellEnd"/>
      <w:r w:rsidRPr="000C24BD">
        <w:t xml:space="preserve">, </w:t>
      </w:r>
      <w:proofErr w:type="spellStart"/>
      <w:r w:rsidRPr="000C24BD">
        <w:t>Table_Name</w:t>
      </w:r>
      <w:proofErr w:type="spellEnd"/>
      <w:r w:rsidRPr="000C24BD">
        <w:t xml:space="preserve">, </w:t>
      </w:r>
      <w:proofErr w:type="spellStart"/>
      <w:proofErr w:type="gramStart"/>
      <w:r w:rsidRPr="000C24BD">
        <w:t>Start</w:t>
      </w:r>
      <w:proofErr w:type="gramEnd"/>
      <w:r w:rsidRPr="000C24BD">
        <w:t>_Date_Time</w:t>
      </w:r>
      <w:proofErr w:type="spellEnd"/>
      <w:r w:rsidRPr="000C24BD">
        <w:t xml:space="preserve">, </w:t>
      </w:r>
      <w:proofErr w:type="spellStart"/>
      <w:r w:rsidRPr="000C24BD">
        <w:t>End_Date_Time</w:t>
      </w:r>
      <w:proofErr w:type="spellEnd"/>
      <w:r w:rsidRPr="000C24BD">
        <w:t xml:space="preserve">, Status, and Errors encountered during the DLT pipeline execution. These details will be captured dynamically and stored in the </w:t>
      </w:r>
      <w:proofErr w:type="spellStart"/>
      <w:r w:rsidRPr="000C24BD">
        <w:t>Job_Task_Audit</w:t>
      </w:r>
      <w:proofErr w:type="spellEnd"/>
      <w:r w:rsidRPr="000C24BD">
        <w:t xml:space="preserve"> table.</w:t>
      </w:r>
    </w:p>
    <w:p w14:paraId="436921C9" w14:textId="77777777" w:rsidR="00F76F50" w:rsidRPr="000C24BD" w:rsidRDefault="00F76F50" w:rsidP="00F76F50">
      <w:pPr>
        <w:numPr>
          <w:ilvl w:val="0"/>
          <w:numId w:val="2"/>
        </w:numPr>
      </w:pPr>
      <w:r w:rsidRPr="000C24BD">
        <w:t xml:space="preserve">Extract job-level metadata such as </w:t>
      </w:r>
      <w:proofErr w:type="spellStart"/>
      <w:r w:rsidRPr="000C24BD">
        <w:t>job_id</w:t>
      </w:r>
      <w:proofErr w:type="spellEnd"/>
      <w:r w:rsidRPr="000C24BD">
        <w:t xml:space="preserve">, </w:t>
      </w:r>
      <w:proofErr w:type="spellStart"/>
      <w:r w:rsidRPr="000C24BD">
        <w:t>job_run_id</w:t>
      </w:r>
      <w:proofErr w:type="spellEnd"/>
      <w:r w:rsidRPr="000C24BD">
        <w:t xml:space="preserve">, and </w:t>
      </w:r>
      <w:proofErr w:type="spellStart"/>
      <w:r w:rsidRPr="000C24BD">
        <w:t>task_run_id</w:t>
      </w:r>
      <w:proofErr w:type="spellEnd"/>
      <w:r w:rsidRPr="000C24BD">
        <w:t xml:space="preserve"> from Databricks pipeline configurations. These values in the pipeline configuration will be dynamically updated with the current run IDs in each run by making an API call from the </w:t>
      </w:r>
      <w:proofErr w:type="gramStart"/>
      <w:r w:rsidRPr="000C24BD">
        <w:t>Bronze</w:t>
      </w:r>
      <w:proofErr w:type="gramEnd"/>
      <w:r w:rsidRPr="000C24BD">
        <w:t xml:space="preserve"> notebook task before triggering the DLT execution.</w:t>
      </w:r>
    </w:p>
    <w:p w14:paraId="3341FFC0" w14:textId="77777777" w:rsidR="00F76F50" w:rsidRPr="000C24BD" w:rsidRDefault="00F76F50" w:rsidP="00F76F50">
      <w:pPr>
        <w:numPr>
          <w:ilvl w:val="0"/>
          <w:numId w:val="2"/>
        </w:numPr>
      </w:pPr>
      <w:r w:rsidRPr="000C24BD">
        <w:t xml:space="preserve">Record timestamps for </w:t>
      </w:r>
      <w:proofErr w:type="spellStart"/>
      <w:r w:rsidRPr="000C24BD">
        <w:t>Start_Date_Time</w:t>
      </w:r>
      <w:proofErr w:type="spellEnd"/>
      <w:r w:rsidRPr="000C24BD">
        <w:t xml:space="preserve"> and </w:t>
      </w:r>
      <w:proofErr w:type="spellStart"/>
      <w:r w:rsidRPr="000C24BD">
        <w:t>End_Date_Time</w:t>
      </w:r>
      <w:proofErr w:type="spellEnd"/>
      <w:r w:rsidRPr="000C24BD">
        <w:t xml:space="preserve"> when the execution begins and ends. Capture the </w:t>
      </w:r>
      <w:proofErr w:type="spellStart"/>
      <w:r w:rsidRPr="000C24BD">
        <w:t>Table_Name</w:t>
      </w:r>
      <w:proofErr w:type="spellEnd"/>
      <w:r w:rsidRPr="000C24BD">
        <w:t xml:space="preserve"> being processed and its corresponding status. </w:t>
      </w:r>
      <w:proofErr w:type="gramStart"/>
      <w:r w:rsidRPr="000C24BD">
        <w:t>Log</w:t>
      </w:r>
      <w:proofErr w:type="gramEnd"/>
      <w:r w:rsidRPr="000C24BD">
        <w:t xml:space="preserve"> any errors encountered during execution.</w:t>
      </w:r>
    </w:p>
    <w:p w14:paraId="05FD3987" w14:textId="77777777" w:rsidR="00F76F50" w:rsidRDefault="00F76F50" w:rsidP="00F76F50">
      <w:pPr>
        <w:numPr>
          <w:ilvl w:val="0"/>
          <w:numId w:val="2"/>
        </w:numPr>
      </w:pPr>
      <w:r w:rsidRPr="00FB1CE8">
        <w:t>In this approach, we need to maintain two tables: one DLT table and one Delta table. The DLT table is required because, in the event of a failure, the pipeline will not run unless at least one active flow exists in the DLT pipeline run.</w:t>
      </w:r>
    </w:p>
    <w:p w14:paraId="5E949C2D" w14:textId="77777777" w:rsidR="00F76F50" w:rsidRDefault="00F76F50" w:rsidP="00F76F50">
      <w:pPr>
        <w:numPr>
          <w:ilvl w:val="0"/>
          <w:numId w:val="2"/>
        </w:numPr>
      </w:pPr>
      <w:r w:rsidRPr="006D1245">
        <w:t xml:space="preserve">The DLT table stores the latest audit information for the current run and </w:t>
      </w:r>
      <w:r>
        <w:t>then data from the DLT table gets written</w:t>
      </w:r>
      <w:r w:rsidRPr="006D1245">
        <w:t xml:space="preserve"> </w:t>
      </w:r>
      <w:r>
        <w:t xml:space="preserve">to the </w:t>
      </w:r>
      <w:r w:rsidRPr="006D1245">
        <w:t>non-DLT table.</w:t>
      </w:r>
    </w:p>
    <w:p w14:paraId="063843AB" w14:textId="77777777" w:rsidR="00F76F50" w:rsidRDefault="00F76F50" w:rsidP="00F76F50">
      <w:pPr>
        <w:ind w:left="360"/>
        <w:rPr>
          <w:b/>
          <w:bCs/>
        </w:rPr>
      </w:pPr>
      <w:r>
        <w:rPr>
          <w:b/>
          <w:bCs/>
        </w:rPr>
        <w:t>Limitations in this approach:</w:t>
      </w:r>
    </w:p>
    <w:p w14:paraId="37889804" w14:textId="77777777" w:rsidR="00F76F50" w:rsidRPr="00A51776" w:rsidRDefault="00F76F50" w:rsidP="00F76F50">
      <w:pPr>
        <w:numPr>
          <w:ilvl w:val="0"/>
          <w:numId w:val="2"/>
        </w:numPr>
      </w:pPr>
      <w:r w:rsidRPr="00FB1CE8">
        <w:t>If a DLT pipeline fails before 'setting up the table' (due to syntax or cluster issues), logging the event in the audit table is not possible.</w:t>
      </w:r>
    </w:p>
    <w:p w14:paraId="0E3CA154" w14:textId="77777777" w:rsidR="00F76F50" w:rsidRPr="00A51776" w:rsidRDefault="00F76F50" w:rsidP="00F76F50">
      <w:pPr>
        <w:numPr>
          <w:ilvl w:val="0"/>
          <w:numId w:val="2"/>
        </w:numPr>
      </w:pPr>
      <w:r w:rsidRPr="00A51776">
        <w:t>DLT table for each pipeline. This is because a DLT table created in one pipeline cannot be used in another.</w:t>
      </w:r>
    </w:p>
    <w:p w14:paraId="4705DF1E" w14:textId="77777777" w:rsidR="00F76F50" w:rsidRDefault="00F76F50" w:rsidP="00F76F50">
      <w:pPr>
        <w:numPr>
          <w:ilvl w:val="0"/>
          <w:numId w:val="2"/>
        </w:numPr>
      </w:pPr>
      <w:r w:rsidRPr="00A51776">
        <w:t xml:space="preserve">We cannot insert </w:t>
      </w:r>
      <w:r>
        <w:t>logs of every DLT pipeline</w:t>
      </w:r>
      <w:r w:rsidRPr="00A51776">
        <w:t xml:space="preserve"> directly into </w:t>
      </w:r>
      <w:r>
        <w:t>one</w:t>
      </w:r>
      <w:r w:rsidRPr="00A51776">
        <w:t xml:space="preserve"> DLT table, so a non-DLT table is used instead</w:t>
      </w:r>
      <w:r>
        <w:t xml:space="preserve"> to combine the logs of all DLT pipelines.</w:t>
      </w:r>
    </w:p>
    <w:p w14:paraId="212D0A22" w14:textId="77777777" w:rsidR="00F76F50" w:rsidRDefault="00F76F50"/>
    <w:sectPr w:rsidR="00F7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E35F9"/>
    <w:multiLevelType w:val="multilevel"/>
    <w:tmpl w:val="767E4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70B3E"/>
    <w:multiLevelType w:val="hybridMultilevel"/>
    <w:tmpl w:val="B470C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3616F"/>
    <w:multiLevelType w:val="hybridMultilevel"/>
    <w:tmpl w:val="ACDA9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6400">
    <w:abstractNumId w:val="2"/>
  </w:num>
  <w:num w:numId="2" w16cid:durableId="1232427188">
    <w:abstractNumId w:val="0"/>
  </w:num>
  <w:num w:numId="3" w16cid:durableId="97453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50"/>
    <w:rsid w:val="0065699B"/>
    <w:rsid w:val="00872349"/>
    <w:rsid w:val="00EC107C"/>
    <w:rsid w:val="00F06D2A"/>
    <w:rsid w:val="00F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E170"/>
  <w15:chartTrackingRefBased/>
  <w15:docId w15:val="{80CF039D-F1D7-4E9A-B036-0457A81A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50"/>
  </w:style>
  <w:style w:type="paragraph" w:styleId="Heading1">
    <w:name w:val="heading 1"/>
    <w:basedOn w:val="Normal"/>
    <w:next w:val="Normal"/>
    <w:link w:val="Heading1Char"/>
    <w:uiPriority w:val="9"/>
    <w:qFormat/>
    <w:rsid w:val="00F7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Notes xmlns="00c60132-40aa-4eec-ac14-534bfc515c1b" xsi:nil="true"/>
    <DatePresented xmlns="00c60132-40aa-4eec-ac14-534bfc515c1b" xsi:nil="true"/>
    <TaxCatchAll xmlns="96140e32-ae8b-478d-9153-611c4fa0765e" xsi:nil="true"/>
  </documentManagement>
</p:properties>
</file>

<file path=customXml/itemProps1.xml><?xml version="1.0" encoding="utf-8"?>
<ds:datastoreItem xmlns:ds="http://schemas.openxmlformats.org/officeDocument/2006/customXml" ds:itemID="{65C31AEC-1713-4725-B3D0-6B78C05B7C8E}"/>
</file>

<file path=customXml/itemProps2.xml><?xml version="1.0" encoding="utf-8"?>
<ds:datastoreItem xmlns:ds="http://schemas.openxmlformats.org/officeDocument/2006/customXml" ds:itemID="{05EF619B-BF45-41E4-A449-11B553735341}"/>
</file>

<file path=customXml/itemProps3.xml><?xml version="1.0" encoding="utf-8"?>
<ds:datastoreItem xmlns:ds="http://schemas.openxmlformats.org/officeDocument/2006/customXml" ds:itemID="{F6F63E36-5830-45A8-85F7-5D3579A04D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ShivamKumar Gupta</dc:creator>
  <cp:keywords/>
  <dc:description/>
  <cp:lastModifiedBy>ShivamKumar Gupta</cp:lastModifiedBy>
  <cp:revision>1</cp:revision>
  <dcterms:created xsi:type="dcterms:W3CDTF">2025-03-24T15:36:00Z</dcterms:created>
  <dcterms:modified xsi:type="dcterms:W3CDTF">2025-03-24T15:55:00Z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</Properties>
</file>