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31 July,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Patient Summary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 – Before Food – 15 days</w:t>
        <w:br/>
        <w:br/>
        <w:t xml:space="preserve">remark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2 –  – After Food – 20  days</w:t>
        <w:br/>
        <w:br/>
        <w:t xml:space="preserve">remark 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