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1.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0" w:name="md_6d2c162b238518bdfea0648721ee"/>
      <w:bookmarkEnd w:id="0"/>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bookmarkStart w:id="1" w:name="md_8c584b456d8d90dcc448ef84def6"/>
      <w:bookmarkEnd w:id="1"/>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ind w:left="720"/>
      </w:pPr>
      <w:r>
        <w:rPr/>
        <w:t>“Steady,” Maya called.</w:t>
      </w:r>
    </w:p>
    <w:p>
      <w:pPr>
        <w:pStyle w:val="Quote"/>
        <w:ind w:left="720"/>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bookmarkStart w:id="2" w:name="md_d2e711003e0f3a9dfec7933964cf"/>
      <w:bookmarkEnd w:id="2"/>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bookmarkStart w:id="3" w:name="md_3048ad2377d4ca1f681304d0e464"/>
      <w:bookmarkEnd w:id="3"/>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rPr>
          <w:tblHeader/>
        </w:trP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bookmarkStart w:id="4" w:name="md_77810967038c4da87ebcf8cd754c"/>
      <w:bookmarkEnd w:id="4"/>
      <w:r>
        <w:rPr/>
        <w:t>Capability Lab</w:t>
      </w:r>
    </w:p>
    <w:p>
      <w:pPr/>
      <w:r>
        <w:rPr/>
        <w:t xml:space="preserve">Everything after this point is intentionally functional. It exercises the portable document features in </w:t>
      </w:r>
      <w:r>
        <w:rPr>
          <w:rFonts w:ascii="Consolas" w:hAnsi="Consolas"/>
        </w:rPr>
        <w:t>markdown-docx</w:t>
      </w:r>
      <w:r>
        <w:rPr/>
        <w:t xml:space="preserve"> while remaining readable as ordinary Markdown.</w:t>
      </w:r>
    </w:p>
    <w:p>
      <w:pPr>
        <w:pStyle w:val="Heading2"/>
      </w:pPr>
      <w:bookmarkStart w:id="5" w:name="md_e29913ac8f344124a37344916859"/>
      <w:bookmarkEnd w:id="5"/>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r>
        <w:rPr/>
        <w:t xml:space="preserve">This line shows </w:t>
      </w:r>
      <w:r>
        <w:rPr>
          <w:strike/>
        </w:rPr>
        <w:t>strikethrough</w:t>
      </w:r>
      <w:r>
        <w:rPr/>
        <w:t>, H</w:t>
      </w:r>
      <w:r>
        <w:rPr>
          <w:vertAlign w:val="subscript"/>
        </w:rPr>
        <w:t>2</w:t>
      </w:r>
      <w:r>
        <w:rPr/>
        <w:t>O, and x</w:t>
      </w:r>
      <w:r>
        <w:rPr>
          <w:vertAlign w:val="superscript"/>
        </w:rPr>
        <w:t>2</w:t>
      </w:r>
      <w:r>
        <w:rPr/>
        <w:t xml:space="preserve">. A bare URL such as </w:t>
      </w:r>
      <w:hyperlink r:id="rId16">
        <w:r>
          <w:rPr>
            <w:rStyle w:val="Hyperlink"/>
          </w:rPr>
          <w:t>https://example.com/docs</w:t>
        </w:r>
      </w:hyperlink>
      <w:r>
        <w:rPr/>
        <w:t xml:space="preserve"> becomes a native hyperlink.</w:t>
      </w:r>
    </w:p>
    <w:p>
      <w:pPr>
        <w:pStyle w:val="Heading2"/>
      </w:pPr>
      <w:bookmarkStart w:id="6" w:name="md_d99218e241924bd72e4715bf78b5"/>
      <w:bookmarkEnd w:id="6"/>
      <w:r>
        <w:rPr/>
        <w:t>Setext heading level two</w:t>
      </w:r>
    </w:p>
    <w:p>
      <w:pPr/>
      <w:r>
        <w:rPr/>
        <w:t>Setext headings create the same Word heading and bookmark as hash headings.</w:t>
      </w:r>
    </w:p>
    <w:p>
      <w:pPr>
        <w:pStyle w:val="Heading3"/>
      </w:pPr>
      <w:bookmarkStart w:id="7" w:name="md_19560e5152ba5633d4328eeaf09e"/>
      <w:bookmarkEnd w:id="7"/>
      <w:r>
        <w:rPr/>
        <w:t>Heading level three</w:t>
      </w:r>
    </w:p>
    <w:p>
      <w:pPr>
        <w:pStyle w:val="Heading4"/>
      </w:pPr>
      <w:bookmarkStart w:id="8" w:name="md_0b11f9a7106048df0ef5d3464f9d"/>
      <w:bookmarkEnd w:id="8"/>
      <w:r>
        <w:rPr/>
        <w:t>Heading level four</w:t>
      </w:r>
    </w:p>
    <w:p>
      <w:pPr>
        <w:pStyle w:val="Heading5"/>
      </w:pPr>
      <w:bookmarkStart w:id="9" w:name="md_b0c920238f01011be62993f6f895"/>
      <w:bookmarkEnd w:id="9"/>
      <w:r>
        <w:rPr/>
        <w:t>Heading level five</w:t>
      </w:r>
    </w:p>
    <w:p>
      <w:pPr>
        <w:pStyle w:val="Heading6"/>
      </w:pPr>
      <w:bookmarkStart w:id="10" w:name="md_1ce1922a5e8ad230dc6b5ac39693"/>
      <w:bookmarkEnd w:id="10"/>
      <w:r>
        <w:rPr/>
        <w:t>Heading level six</w:t>
      </w:r>
    </w:p>
    <w:p>
      <w:pPr>
        <w:pStyle w:val="Quote"/>
        <w:ind w:left="720"/>
      </w:pPr>
      <w:r>
        <w:rPr/>
        <w:t xml:space="preserve">A blockquote uses the configured </w:t>
      </w:r>
      <w:r>
        <w:rPr>
          <w:rFonts w:ascii="Consolas" w:hAnsi="Consolas"/>
        </w:rPr>
        <w:t>Quote</w:t>
      </w:r>
      <w:r>
        <w:rPr/>
        <w:t xml:space="preserve"> paragraph style.</w:t>
      </w:r>
    </w:p>
    <w:p>
      <w:pPr>
        <w:pStyle w:val="Quote"/>
        <w:ind w:left="720"/>
      </w:pPr>
      <w:r>
        <w:rPr/>
        <w:t>A second quoted paragraph confirms that consecutive quote blocks remain editable text.</w:t>
      </w:r>
    </w:p>
    <w:p>
      <w:pPr>
        <w:pStyle w:val="Heading3"/>
        <w:ind w:left="720"/>
      </w:pPr>
      <w:bookmarkStart w:id="11" w:name="md_ba034601a5beb9b7fd90d8cb51aa"/>
      <w:bookmarkEnd w:id="11"/>
      <w:r>
        <w:rPr/>
        <w:t>A heading inside a quote</w:t>
      </w:r>
    </w:p>
    <w:p>
      <w:pPr>
        <w:pStyle w:val="ListBullet"/>
        <w:numPr>
          <w:ilvl w:val="0"/>
          <w:numId w:val="16"/>
        </w:numPr>
        <w:ind w:left="1080"/>
      </w:pPr>
      <w:r>
        <w:rPr/>
        <w:t>A list item keeps native bullets inside the quote.</w:t>
      </w:r>
    </w:p>
    <w:p>
      <w:pPr>
        <w:pStyle w:val="CodeBlock"/>
        <w:ind w:left="1080"/>
      </w:pPr>
      <w:r>
        <w:t>Quoted code stays editable.</w:t>
      </w:r>
    </w:p>
    <w:tbl>
      <w:tblPr>
        <w:tblStyle w:val="TableGrid"/>
        <w:tblW w:type="auto" w:w="0"/>
        <w:jc w:val="left"/>
        <w:tblInd w:type="dxa" w:w="720"/>
        <w:tblLayout w:type="fixed"/>
        <w:tblLook w:firstColumn="1" w:firstRow="1" w:lastColumn="0" w:lastRow="0" w:noHBand="0" w:noVBand="1" w:val="04A0"/>
      </w:tblPr>
      <w:tblGrid>
        <w:gridCol w:w="4464"/>
        <w:gridCol w:w="4464"/>
      </w:tblGrid>
      <w:tr>
        <w:trPr>
          <w:tblHeader/>
        </w:trPr>
        <w:tc>
          <w:tcPr>
            <w:tcW w:type="dxa" w:w="4464"/>
          </w:tcPr>
          <w:p>
            <w:pPr>
              <w:jc w:val="left"/>
            </w:pPr>
            <w:r>
              <w:rPr/>
              <w:t>Quoted part</w:t>
            </w:r>
          </w:p>
        </w:tc>
        <w:tc>
          <w:tcPr>
            <w:tcW w:type="dxa" w:w="4464"/>
          </w:tcPr>
          <w:p>
            <w:pPr>
              <w:jc w:val="left"/>
            </w:pPr>
            <w:r>
              <w:rPr/>
              <w:t>Status</w:t>
            </w:r>
          </w:p>
        </w:tc>
      </w:tr>
      <w:tr>
        <w:tc>
          <w:tcPr>
            <w:tcW w:type="dxa" w:w="4464"/>
          </w:tcPr>
          <w:p>
            <w:pPr>
              <w:jc w:val="left"/>
            </w:pPr>
            <w:r>
              <w:rPr/>
              <w:t>Table</w:t>
            </w:r>
          </w:p>
        </w:tc>
        <w:tc>
          <w:tcPr>
            <w:tcW w:type="dxa" w:w="4464"/>
          </w:tcPr>
          <w:p>
            <w:pPr>
              <w:jc w:val="left"/>
            </w:pPr>
            <w:r>
              <w:rPr/>
              <w:t>Ready</w:t>
            </w:r>
          </w:p>
        </w:tc>
      </w:tr>
    </w:tbl>
    <w:p>
      <w:pPr>
        <w:ind w:left="720"/>
        <w:jc w:val="left"/>
      </w:pPr>
      <w:r>
        <w:drawing>
          <wp:inline xmlns:a="http://schemas.openxmlformats.org/drawingml/2006/main" xmlns:pic="http://schemas.openxmlformats.org/drawingml/2006/picture">
            <wp:extent cx="1270065" cy="508026"/>
            <wp:docPr id="6" name="Picture 6" descr="Three dogs in a quoted illustra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p>
    <w:p>
      <w:pPr>
        <w:pStyle w:val="Quote"/>
        <w:ind w:left="1440"/>
      </w:pPr>
      <w:r>
        <w:rPr/>
        <w:t>A second quote level adds another indent.</w:t>
      </w:r>
    </w:p>
    <w:p>
      <w:pPr>
        <w:pStyle w:val="Heading2"/>
      </w:pPr>
      <w:bookmarkStart w:id="12" w:name="md_e782f36a97b4acda8ab01a4dd294"/>
      <w:bookmarkEnd w:id="12"/>
      <w:r>
        <w:rPr/>
        <w:t>Fenced code</w:t>
      </w:r>
    </w:p>
    <w:p>
      <w:pPr>
        <w:pStyle w:val="CodeBlock"/>
      </w:pPr>
      <w:r>
        <w:rPr>
          <w:b/>
          <w:color w:val="008000"/>
        </w:rPr>
        <w:t>from</w:t>
      </w:r>
      <w:r>
        <w:t xml:space="preserve"> </w:t>
      </w:r>
      <w:r>
        <w:rPr>
          <w:b/>
          <w:color w:val="0000FF"/>
        </w:rPr>
        <w:t>pathlib</w:t>
      </w:r>
      <w:r>
        <w:t xml:space="preserve"> </w:t>
      </w:r>
      <w:r>
        <w:rPr>
          <w:b/>
          <w:color w:val="008000"/>
        </w:rPr>
        <w:t>import</w:t>
      </w:r>
      <w:r>
        <w:t xml:space="preserve"> </w:t>
      </w:r>
      <w:r>
        <w:t>Path</w:t>
      </w:r>
      <w:r>
        <w:br/>
      </w:r>
      <w:r>
        <w:br/>
      </w:r>
      <w:r>
        <w:t>source</w:t>
      </w:r>
      <w:r>
        <w:t xml:space="preserve"> </w:t>
      </w:r>
      <w:r>
        <w:rPr>
          <w:color w:val="666666"/>
        </w:rPr>
        <w:t>=</w:t>
      </w:r>
      <w:r>
        <w:t xml:space="preserve"> </w:t>
      </w:r>
      <w:r>
        <w:t>Path</w:t>
      </w:r>
      <w:r>
        <w:t>(</w:t>
      </w:r>
      <w:r>
        <w:rPr>
          <w:color w:val="BA2121"/>
        </w:rPr>
        <w:t>"</w:t>
      </w:r>
      <w:r>
        <w:rPr>
          <w:color w:val="BA2121"/>
        </w:rPr>
        <w:t>showcase.md</w:t>
      </w:r>
      <w:r>
        <w:rPr>
          <w:color w:val="BA2121"/>
        </w:rPr>
        <w:t>"</w:t>
      </w:r>
      <w:r>
        <w:t>)</w:t>
      </w:r>
      <w:r>
        <w:br/>
      </w:r>
      <w:r>
        <w:t>target</w:t>
      </w:r>
      <w:r>
        <w:t xml:space="preserve"> </w:t>
      </w:r>
      <w:r>
        <w:rPr>
          <w:color w:val="666666"/>
        </w:rPr>
        <w:t>=</w:t>
      </w:r>
      <w:r>
        <w:t xml:space="preserve"> </w:t>
      </w:r>
      <w:r>
        <w:t>source</w:t>
      </w:r>
      <w:r>
        <w:rPr>
          <w:color w:val="666666"/>
        </w:rPr>
        <w:t>.</w:t>
      </w:r>
      <w:r>
        <w:t>with_suffix</w:t>
      </w:r>
      <w:r>
        <w:t>(</w:t>
      </w:r>
      <w:r>
        <w:rPr>
          <w:color w:val="BA2121"/>
        </w:rPr>
        <w:t>"</w:t>
      </w:r>
      <w:r>
        <w:rPr>
          <w:color w:val="BA2121"/>
        </w:rPr>
        <w:t>.docx</w:t>
      </w:r>
      <w:r>
        <w:rPr>
          <w:color w:val="BA2121"/>
        </w:rPr>
        <w:t>"</w:t>
      </w:r>
      <w:r>
        <w:t>)</w:t>
      </w:r>
      <w:r>
        <w:br/>
      </w:r>
      <w:r>
        <w:rPr>
          <w:color w:val="008000"/>
        </w:rPr>
        <w:t>print</w:t>
      </w:r>
      <w:r>
        <w:t>(</w:t>
      </w:r>
      <w:r>
        <w:t>target</w:t>
      </w:r>
      <w:r>
        <w:t>)</w:t>
      </w:r>
    </w:p>
    <w:p>
      <w:pPr/>
      <w:r>
        <w:rPr/>
        <w:t>The CSS fence demonstrates a second recognized language.</w:t>
      </w:r>
    </w:p>
    <w:p>
      <w:pPr>
        <w:pStyle w:val="CodeBlock"/>
      </w:pPr>
      <w:r>
        <w:t>.</w:t>
      </w:r>
      <w:r>
        <w:rPr>
          <w:b/>
          <w:color w:val="0000FF"/>
        </w:rPr>
        <w:t>showcase</w:t>
      </w:r>
      <w:r>
        <w:t xml:space="preserve"> </w:t>
      </w:r>
      <w:r>
        <w:t>{</w:t>
      </w:r>
      <w:r>
        <w:br/>
        <w:t xml:space="preserve">  </w:t>
      </w:r>
      <w:r>
        <w:rPr>
          <w:b/>
          <w:color w:val="008000"/>
        </w:rPr>
        <w:t>color</w:t>
      </w:r>
      <w:r>
        <w:t>:</w:t>
      </w:r>
      <w:r>
        <w:t xml:space="preserve"> </w:t>
      </w:r>
      <w:r>
        <w:rPr>
          <w:color w:val="666666"/>
        </w:rPr>
        <w:t>#2464a4</w:t>
      </w:r>
      <w:r>
        <w:br/>
      </w:r>
      <w:r>
        <w:t>}</w:t>
      </w:r>
    </w:p>
    <w:p>
      <w:pPr>
        <w:pStyle w:val="Heading2"/>
      </w:pPr>
      <w:bookmarkStart w:id="13" w:name="md_9f56f36ed86b9b74bc5278600db8"/>
      <w:bookmarkEnd w:id="13"/>
      <w:r>
        <w:rPr/>
        <w:t>Indented code</w:t>
      </w:r>
    </w:p>
    <w:p>
      <w:pPr>
        <w:pStyle w:val="CodeBlock"/>
      </w:pPr>
      <w:r>
        <w:t>source = "showcase.md"</w:t>
        <w:br/>
        <w:t>print(source)</w:t>
      </w:r>
    </w:p>
    <w:p>
      <w:r>
        <w:br w:type="page"/>
      </w:r>
    </w:p>
    <w:p>
      <w:pPr/>
      <w:hyperlink w:anchor="md_64d072884695e541eaca3f6db85c">
        <w:r>
          <w:rPr>
            <w:rStyle w:val="Hyperlink"/>
          </w:rPr>
          <w:t>Jump to list kinds and depths</w:t>
        </w:r>
      </w:hyperlink>
      <w:r>
        <w:rPr/>
        <w:t>.</w:t>
      </w:r>
    </w:p>
    <w:p>
      <w:pPr>
        <w:pStyle w:val="Heading2"/>
      </w:pPr>
      <w:bookmarkStart w:id="14" w:name="md_fc7accb762a496c79519fba735f9"/>
      <w:bookmarkEnd w:id="14"/>
      <w:r>
        <w:rPr/>
        <w:t>List starts and continuation paragraphs</w:t>
      </w:r>
    </w:p>
    <w:p>
      <w:pPr>
        <w:pStyle w:val="ListNumber"/>
        <w:numPr>
          <w:ilvl w:val="0"/>
          <w:numId w:val="17"/>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7"/>
        </w:numPr>
      </w:pPr>
      <w:r>
        <w:rPr/>
        <w:t>This item continues at four.</w:t>
      </w:r>
    </w:p>
    <w:p>
      <w:pPr/>
      <w:r>
        <w:rPr/>
        <w:t>A paragraph separates the next list from the previous sequence.</w:t>
      </w:r>
    </w:p>
    <w:p>
      <w:pPr>
        <w:pStyle w:val="ListNumber"/>
        <w:numPr>
          <w:ilvl w:val="0"/>
          <w:numId w:val="18"/>
        </w:numPr>
      </w:pPr>
      <w:r>
        <w:rPr/>
        <w:t>This independent list starts again at one.</w:t>
      </w:r>
    </w:p>
    <w:p>
      <w:pPr>
        <w:pStyle w:val="Heading2"/>
      </w:pPr>
      <w:bookmarkStart w:id="15" w:name="md_64d072884695e541eaca3f6db85c"/>
      <w:bookmarkEnd w:id="15"/>
      <w:r>
        <w:rPr/>
        <w:t>List kinds and depths</w:t>
      </w:r>
    </w:p>
    <w:p>
      <w:pPr>
        <w:pStyle w:val="ListBullet"/>
        <w:numPr>
          <w:ilvl w:val="0"/>
          <w:numId w:val="19"/>
        </w:numPr>
      </w:pPr>
      <w:r>
        <w:rPr/>
        <w:t>Unordered level one</w:t>
      </w:r>
    </w:p>
    <w:p>
      <w:pPr>
        <w:pStyle w:val="ListBullet2"/>
        <w:numPr>
          <w:ilvl w:val="0"/>
          <w:numId w:val="20"/>
        </w:numPr>
      </w:pPr>
      <w:r>
        <w:rPr/>
        <w:t>Unordered level two</w:t>
      </w:r>
    </w:p>
    <w:p>
      <w:pPr>
        <w:pStyle w:val="ListBullet3"/>
        <w:numPr>
          <w:ilvl w:val="0"/>
          <w:numId w:val="21"/>
        </w:numPr>
      </w:pPr>
      <w:r>
        <w:rPr/>
        <w:t>Unordered level three</w:t>
      </w:r>
    </w:p>
    <w:p>
      <w:pPr>
        <w:pStyle w:val="ListNumber"/>
        <w:numPr>
          <w:ilvl w:val="0"/>
          <w:numId w:val="22"/>
        </w:numPr>
      </w:pPr>
      <w:r>
        <w:rPr/>
        <w:t>Ordered level one</w:t>
      </w:r>
    </w:p>
    <w:p>
      <w:pPr>
        <w:pStyle w:val="ListNumber2"/>
        <w:numPr>
          <w:ilvl w:val="0"/>
          <w:numId w:val="23"/>
        </w:numPr>
      </w:pPr>
      <w:r>
        <w:rPr/>
        <w:t>Ordered level two</w:t>
      </w:r>
    </w:p>
    <w:p>
      <w:pPr>
        <w:pStyle w:val="ListNumber3"/>
        <w:numPr>
          <w:ilvl w:val="0"/>
          <w:numId w:val="24"/>
        </w:numPr>
      </w:pPr>
      <w:r>
        <w:rPr/>
        <w:t>Ordered level three</w:t>
      </w:r>
    </w:p>
    <w:p>
      <w:pPr>
        <w:pStyle w:val="ListBullet"/>
        <w:numPr>
          <w:ilvl w:val="0"/>
          <w:numId w:val="25"/>
        </w:numPr>
      </w:pPr>
      <w:r>
        <w:rPr/>
        <w:t>Mixed unordered parent</w:t>
      </w:r>
    </w:p>
    <w:p>
      <w:pPr>
        <w:pStyle w:val="ListNumber2"/>
        <w:numPr>
          <w:ilvl w:val="0"/>
          <w:numId w:val="26"/>
        </w:numPr>
      </w:pPr>
      <w:r>
        <w:rPr/>
        <w:t>Ordered child</w:t>
      </w:r>
    </w:p>
    <w:p>
      <w:pPr>
        <w:pStyle w:val="ListNumber3"/>
        <w:numPr>
          <w:ilvl w:val="0"/>
          <w:numId w:val="27"/>
        </w:numPr>
      </w:pPr>
      <w:r>
        <w:rPr/>
        <w:t>Ordered grandchild</w:t>
      </w:r>
    </w:p>
    <w:p>
      <w:pPr>
        <w:pStyle w:val="ListNumber"/>
        <w:numPr>
          <w:ilvl w:val="0"/>
          <w:numId w:val="28"/>
        </w:numPr>
      </w:pPr>
      <w:r>
        <w:rPr/>
        <w:t>Mixed ordered parent</w:t>
      </w:r>
    </w:p>
    <w:p>
      <w:pPr>
        <w:pStyle w:val="ListBullet2"/>
        <w:numPr>
          <w:ilvl w:val="0"/>
          <w:numId w:val="29"/>
        </w:numPr>
      </w:pPr>
      <w:r>
        <w:rPr/>
        <w:t>Unordered child</w:t>
      </w:r>
    </w:p>
    <w:p>
      <w:pPr>
        <w:pStyle w:val="ListBullet3"/>
        <w:numPr>
          <w:ilvl w:val="0"/>
          <w:numId w:val="30"/>
        </w:numPr>
      </w:pPr>
      <w:r>
        <w:rPr/>
        <w:t>Unordered grandchild</w:t>
      </w:r>
    </w:p>
    <w:p>
      <w:pPr>
        <w:pStyle w:val="Heading2"/>
      </w:pPr>
      <w:bookmarkStart w:id="16" w:name="md_540996c52d6982291dfbaf78a79f"/>
      <w:bookmarkEnd w:id="16"/>
      <w:r>
        <w:rPr/>
        <w:t>Rich list items</w:t>
      </w:r>
    </w:p>
    <w:p>
      <w:pPr>
        <w:pStyle w:val="ListNumber"/>
        <w:numPr>
          <w:ilvl w:val="0"/>
          <w:numId w:val="31"/>
        </w:numPr>
      </w:pPr>
      <w:r>
        <w:rPr/>
        <w:t>This item contains several editable blocks beneath one Word list number.</w:t>
      </w:r>
    </w:p>
    <w:p>
      <w:pPr>
        <w:pStyle w:val="CodeBlock"/>
        <w:numPr>
          <w:numId w:val="0"/>
        </w:numPr>
        <w:tabs>
          <w:tab w:val="num" w:pos="360"/>
        </w:tabs>
        <w:ind w:left="360" w:firstLine="0"/>
      </w:pPr>
      <w:r>
        <w:rPr>
          <w:color w:val="008000"/>
        </w:rPr>
        <w:t>print</w:t>
      </w:r>
      <w:r>
        <w:t>(</w:t>
      </w:r>
      <w:r>
        <w:rPr>
          <w:color w:val="BA2121"/>
        </w:rPr>
        <w:t>"</w:t>
      </w:r>
      <w:r>
        <w:rPr>
          <w:color w:val="BA2121"/>
        </w:rPr>
        <w:t>Nested code</w:t>
      </w:r>
      <w:r>
        <w:rPr>
          <w:color w:val="BA2121"/>
        </w:rPr>
        <w:t>"</w:t>
      </w:r>
      <w:r>
        <w:t>)</w:t>
      </w:r>
    </w:p>
    <w:p>
      <w:pPr>
        <w:pStyle w:val="Quote"/>
        <w:numPr>
          <w:numId w:val="0"/>
        </w:numPr>
        <w:tabs>
          <w:tab w:val="num" w:pos="360"/>
        </w:tabs>
        <w:ind w:left="1080" w:firstLine="0"/>
      </w:pPr>
      <w:r>
        <w:rPr/>
        <w:t>A quote inside the list item stays indented with its text.</w:t>
      </w:r>
    </w:p>
    <w:tbl>
      <w:tblPr>
        <w:tblStyle w:val="TableGrid"/>
        <w:tblW w:type="auto" w:w="0"/>
        <w:jc w:val="left"/>
        <w:tblInd w:type="dxa" w:w="360"/>
        <w:tblLayout w:type="fixed"/>
        <w:tblLook w:firstColumn="1" w:firstRow="1" w:lastColumn="0" w:lastRow="0" w:noHBand="0" w:noVBand="1" w:val="04A0"/>
      </w:tblPr>
      <w:tblGrid>
        <w:gridCol w:w="4644"/>
        <w:gridCol w:w="4644"/>
      </w:tblGrid>
      <w:tr>
        <w:trPr>
          <w:tblHeader/>
        </w:trPr>
        <w:tc>
          <w:tcPr>
            <w:tcW w:type="dxa" w:w="4644"/>
          </w:tcPr>
          <w:p>
            <w:pPr>
              <w:jc w:val="left"/>
            </w:pPr>
            <w:r>
              <w:rPr/>
              <w:t>Part</w:t>
            </w:r>
          </w:p>
        </w:tc>
        <w:tc>
          <w:tcPr>
            <w:tcW w:type="dxa" w:w="4644"/>
          </w:tcPr>
          <w:p>
            <w:pPr>
              <w:jc w:val="left"/>
            </w:pPr>
            <w:r>
              <w:rPr/>
              <w:t>Status</w:t>
            </w:r>
          </w:p>
        </w:tc>
      </w:tr>
      <w:tr>
        <w:tc>
          <w:tcPr>
            <w:tcW w:type="dxa" w:w="4644"/>
          </w:tcPr>
          <w:p>
            <w:pPr>
              <w:jc w:val="left"/>
            </w:pPr>
            <w:r>
              <w:rPr/>
              <w:t>Code</w:t>
            </w:r>
          </w:p>
        </w:tc>
        <w:tc>
          <w:tcPr>
            <w:tcW w:type="dxa" w:w="4644"/>
          </w:tcPr>
          <w:p>
            <w:pPr>
              <w:jc w:val="left"/>
            </w:pPr>
            <w:r>
              <w:rPr/>
              <w:t>Ready</w:t>
            </w:r>
          </w:p>
        </w:tc>
      </w:tr>
    </w:tbl>
    <w:p>
      <w:pPr>
        <w:numPr>
          <w:numId w:val="0"/>
        </w:numPr>
        <w:tabs>
          <w:tab w:val="num" w:pos="360"/>
        </w:tabs>
        <w:ind w:left="360" w:firstLine="0"/>
      </w:pPr>
      <w:r>
        <w:drawing>
          <wp:inline xmlns:a="http://schemas.openxmlformats.org/drawingml/2006/main" xmlns:pic="http://schemas.openxmlformats.org/drawingml/2006/picture">
            <wp:extent cx="1270065" cy="508026"/>
            <wp:docPr id="7" name="Picture 7" descr="The three dogs togeth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p>
    <w:p>
      <w:pPr>
        <w:pStyle w:val="ListNumber"/>
        <w:numPr>
          <w:numId w:val="0"/>
        </w:numPr>
        <w:tabs>
          <w:tab w:val="num" w:pos="360"/>
        </w:tabs>
        <w:ind w:left="360" w:firstLine="0"/>
      </w:pPr>
      <w:r>
        <w:rPr/>
        <w:t>The final paragraph still belongs to the same numbered item.</w:t>
      </w:r>
    </w:p>
    <w:p>
      <w:pPr>
        <w:pStyle w:val="ListNumber"/>
        <w:numPr>
          <w:ilvl w:val="0"/>
          <w:numId w:val="31"/>
        </w:numPr>
      </w:pPr>
      <w:r>
        <w:rPr/>
        <w:t>Numbering continues after the nested blocks.</w:t>
      </w:r>
    </w:p>
    <w:p>
      <w:pPr>
        <w:pStyle w:val="Heading2"/>
      </w:pPr>
      <w:bookmarkStart w:id="17" w:name="md_b85f10fdd3e5466da7337c39ab52"/>
      <w:bookmarkEnd w:id="17"/>
      <w:r>
        <w:rPr/>
        <w:t>Clickable task lists</w:t>
      </w:r>
    </w:p>
    <w:p>
      <w:pPr>
        <w:pStyle w:val="ListBullet"/>
        <w:numPr>
          <w:numId w:val="0"/>
        </w:numPr>
        <w:tabs>
          <w:tab w:val="num" w:pos="360"/>
        </w:tabs>
        <w:ind w:left="360" w:firstLine="0"/>
      </w:pPr>
      <w:sdt>
        <w:sdtPr>
          <w14:checkbox>
            <w14:checked w14:val="0"/>
            <w14:checkedState w14:val="2612" w14:font="MS Gothic"/>
            <w14:uncheckedState w14:val="2610" w14:font="MS Gothic"/>
          </w14:checkbox>
        </w:sdtPr>
        <w:sdtContent>
          <w:r>
            <w:rPr>
              <w:rFonts w:ascii="MS Gothic" w:hAnsi="MS Gothic"/>
            </w:rPr>
            <w:t>☐</w:t>
          </w:r>
        </w:sdtContent>
      </w:sdt>
      <w:r>
        <w:t xml:space="preserve"> </w:t>
      </w:r>
      <w:r>
        <w:rPr/>
        <w:t xml:space="preserve">Review the draft and follow </w:t>
      </w:r>
      <w:hyperlink r:id="rId17">
        <w:r>
          <w:rPr>
            <w:rStyle w:val="Hyperlink"/>
          </w:rPr>
          <w:t>the checklist</w:t>
        </w:r>
      </w:hyperlink>
      <w:r>
        <w:rPr/>
        <w:t>.</w:t>
      </w:r>
    </w:p>
    <w:p>
      <w:pPr>
        <w:pStyle w:val="ListBullet"/>
        <w:numPr>
          <w:numId w:val="0"/>
        </w:numPr>
        <w:tabs>
          <w:tab w:val="num" w:pos="360"/>
        </w:tabs>
        <w:ind w:left="360" w:firstLine="0"/>
      </w:pPr>
      <w:sdt>
        <w:sdtPr>
          <w14:checkbox>
            <w14:checked w14:val="1"/>
            <w14:checkedState w14:val="2612" w14:font="MS Gothic"/>
            <w14:uncheckedState w14:val="2610" w14:font="MS Gothic"/>
          </w14:checkbox>
        </w:sdtPr>
        <w:sdtContent>
          <w:r>
            <w:rPr>
              <w:rFonts w:ascii="MS Gothic" w:hAnsi="MS Gothic"/>
            </w:rPr>
            <w:t>☒</w:t>
          </w:r>
        </w:sdtContent>
      </w:sdt>
      <w:r>
        <w:t xml:space="preserve"> </w:t>
      </w:r>
      <w:r>
        <w:rPr/>
        <w:t xml:space="preserve">Approve the </w:t>
      </w:r>
      <w:r>
        <w:rPr>
          <w:b/>
        </w:rPr>
        <w:t>finished</w:t>
      </w:r>
      <w:r>
        <w:rPr/>
        <w:t xml:space="preserve"> document.</w:t>
      </w:r>
    </w:p>
    <w:p>
      <w:pPr>
        <w:pStyle w:val="ListBullet"/>
        <w:numPr>
          <w:ilvl w:val="0"/>
          <w:numId w:val="32"/>
        </w:numPr>
      </w:pPr>
      <w:r>
        <w:rPr/>
        <w:t>Plain list items can sit alongside tasks.</w:t>
      </w:r>
    </w:p>
    <w:p>
      <w:pPr>
        <w:pStyle w:val="ListNumber"/>
        <w:numPr>
          <w:ilvl w:val="0"/>
          <w:numId w:val="33"/>
        </w:numPr>
      </w:pPr>
      <w:sdt>
        <w:sdtPr>
          <w14:checkbox>
            <w14:checked w14:val="0"/>
            <w14:checkedState w14:val="2612" w14:font="MS Gothic"/>
            <w14:uncheckedState w14:val="2610" w14:font="MS Gothic"/>
          </w14:checkbox>
        </w:sdtPr>
        <w:sdtContent>
          <w:r>
            <w:rPr>
              <w:rFonts w:ascii="MS Gothic" w:hAnsi="MS Gothic"/>
            </w:rPr>
            <w:t>☐</w:t>
          </w:r>
        </w:sdtContent>
      </w:sdt>
      <w:r>
        <w:t xml:space="preserve"> </w:t>
      </w:r>
      <w:r>
        <w:rPr/>
        <w:t>A numbered task keeps its number and gains a check box.</w:t>
      </w:r>
    </w:p>
    <w:p>
      <w:pPr>
        <w:pStyle w:val="Heading2"/>
      </w:pPr>
      <w:bookmarkStart w:id="18" w:name="md_44ea7c2cfd1629da0518d67c8eca"/>
      <w:bookmarkEnd w:id="18"/>
      <w:r>
        <w:rPr/>
        <w:t>Thematic breaks and empty blocks</w:t>
      </w:r>
    </w:p>
    <w:p>
      <w:pPr/>
      <w:r>
        <w:rPr/>
        <w:t>A horizontal rule below uses Word's standard paragraph border.</w:t>
      </w:r>
    </w:p>
    <w:p>
      <w:pPr>
        <w:pBdr>
          <w:bottom w:val="single" w:sz="6" w:space="1" w:color="auto"/>
        </w:pBdr>
      </w:pPr>
    </w:p>
    <w:p>
      <w:pPr/>
      <w:r>
        <w:rPr/>
        <w:t>The empty link label stays visible without a destination.</w:t>
      </w:r>
    </w:p>
    <w:p>
      <w:pPr>
        <w:pStyle w:val="ListBullet"/>
        <w:numPr>
          <w:ilvl w:val="0"/>
          <w:numId w:val="34"/>
        </w:numPr>
      </w:pPr>
      <w:r>
        <w:rPr/>
        <w:t>A list item before an empty one.</w:t>
      </w:r>
    </w:p>
    <w:p>
      <w:pPr>
        <w:pStyle w:val="ListBullet"/>
        <w:numPr>
          <w:ilvl w:val="0"/>
          <w:numId w:val="34"/>
        </w:numPr>
      </w:pPr>
    </w:p>
    <w:p>
      <w:pPr>
        <w:pStyle w:val="ListBullet"/>
        <w:numPr>
          <w:ilvl w:val="0"/>
          <w:numId w:val="34"/>
        </w:numPr>
      </w:pPr>
      <w:r>
        <w:rPr/>
        <w:t>A list item after an empty one.</w:t>
      </w:r>
    </w:p>
    <w:p>
      <w:pPr>
        <w:pStyle w:val="Quote"/>
        <w:ind w:left="720"/>
      </w:pPr>
    </w:p>
    <w:p>
      <w:pPr/>
      <w:r>
        <w:rPr/>
        <w:t>The preceding quote is an empty Word paragraph with the Quote style.</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bookmarkStart w:id="19" w:name="md_4e45b09e0dac07d9d9474bd6a825"/>
      <w:bookmarkEnd w:id="19"/>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rPr>
          <w:tblHeader/>
        </w:trP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8">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8" name="Picture 8"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bookmarkStart w:id="20" w:name="md_1bf6c18defbb212aebe8b6ce6927"/>
      <w:bookmarkEnd w:id="20"/>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rPr>
          <w:tblHeader/>
        </w:trP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9" name="Picture 9"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bookmarkStart w:id="21" w:name="md_a009503c39a92748e3d467d7c61a"/>
      <w:bookmarkEnd w:id="21"/>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10" name="Picture 10"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bookmarkStart w:id="22" w:name="md_f383a0d0b844d9b00681969c334c"/>
      <w:bookmarkEnd w:id="22"/>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rPr>
          <w:tblHeader/>
        </w:trP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bookmarkStart w:id="23" w:name="md_ac49b03d58a09e1d112171499dfe"/>
      <w:bookmarkEnd w:id="23"/>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8">
        <w:r>
          <w:rPr>
            <w:rStyle w:val="Hyperlink"/>
          </w:rPr>
          <w:t>project documentation</w:t>
        </w:r>
      </w:hyperlink>
      <w:r>
        <w:rPr/>
        <w:t xml:space="preserve"> for more examples.</w:t>
      </w:r>
    </w:p>
    <w:p>
      <w:pPr>
        <w:pStyle w:val="Heading2"/>
      </w:pPr>
      <w:bookmarkStart w:id="24" w:name="md_9652f0b201e92db1e8d62a4c5b77"/>
      <w:bookmarkEnd w:id="24"/>
      <w:r>
        <w:rPr/>
        <w:t>Native footnotes</w:t>
      </w:r>
    </w:p>
    <w:p>
      <w:pPr/>
      <w:r>
        <w:rPr/>
        <w:t>This statement has an editable Word footnote</w:t>
      </w:r>
      <w:r/>
      <w:r>
        <w:rPr>
          <w:rStyle w:val="FootnoteReference"/>
        </w:rPr>
        <w:footnoteReference w:id="1"/>
      </w:r>
      <w:r>
        <w:rPr/>
        <w:t>.</w:t>
      </w:r>
    </w:p>
    <w:p>
      <w:pPr>
        <w:pStyle w:val="Heading2"/>
      </w:pPr>
      <w:bookmarkStart w:id="25" w:name="md_03a6d15b03b1c0e43eb5c060ff2b"/>
      <w:bookmarkEnd w:id="25"/>
      <w:r>
        <w:rPr/>
        <w:t>Repeating table headers</w:t>
      </w:r>
    </w:p>
    <w:p>
      <w:pPr/>
      <w:r>
        <w:rPr/>
        <w:t>Pipe-table headers repeat automatically when their table spans pages. Body rows retain their normal behavior.</w:t>
      </w:r>
    </w:p>
    <w:tbl>
      <w:tblPr>
        <w:tblStyle w:val="TableGrid"/>
        <w:tblW w:type="auto" w:w="0"/>
        <w:jc w:val="left"/>
        <w:tblLayout w:type="fixed"/>
        <w:tblLook w:firstColumn="1" w:firstRow="1" w:lastColumn="0" w:lastRow="0" w:noHBand="0" w:noVBand="1" w:val="04A0"/>
      </w:tblPr>
      <w:tblGrid>
        <w:gridCol w:w="4824"/>
        <w:gridCol w:w="4824"/>
      </w:tblGrid>
      <w:tr>
        <w:trPr>
          <w:tblHeader/>
        </w:trPr>
        <w:tc>
          <w:tcPr>
            <w:tcW w:type="dxa" w:w="4824"/>
          </w:tcPr>
          <w:p>
            <w:pPr>
              <w:jc w:val="left"/>
            </w:pPr>
            <w:r>
              <w:rPr/>
              <w:t>Capability</w:t>
            </w:r>
          </w:p>
        </w:tc>
        <w:tc>
          <w:tcPr>
            <w:tcW w:type="dxa" w:w="4824"/>
          </w:tcPr>
          <w:p>
            <w:pPr>
              <w:jc w:val="left"/>
            </w:pPr>
            <w:r>
              <w:rPr/>
              <w:t>Behavior</w:t>
            </w:r>
          </w:p>
        </w:tc>
      </w:tr>
      <w:tr>
        <w:tc>
          <w:tcPr>
            <w:tcW w:type="dxa" w:w="4824"/>
          </w:tcPr>
          <w:p>
            <w:pPr>
              <w:jc w:val="left"/>
            </w:pPr>
            <w:r>
              <w:rPr/>
              <w:t>Header row</w:t>
            </w:r>
          </w:p>
        </w:tc>
        <w:tc>
          <w:tcPr>
            <w:tcW w:type="dxa" w:w="4824"/>
          </w:tcPr>
          <w:p>
            <w:pPr>
              <w:jc w:val="left"/>
            </w:pPr>
            <w:r>
              <w:rPr/>
              <w:t>Repeats on later table pages</w:t>
            </w:r>
          </w:p>
        </w:tc>
      </w:tr>
      <w:tr>
        <w:tc>
          <w:tcPr>
            <w:tcW w:type="dxa" w:w="4824"/>
          </w:tcPr>
          <w:p>
            <w:pPr>
              <w:jc w:val="left"/>
            </w:pPr>
            <w:r>
              <w:rPr/>
              <w:t>Body row</w:t>
            </w:r>
          </w:p>
        </w:tc>
        <w:tc>
          <w:tcPr>
            <w:tcW w:type="dxa" w:w="4824"/>
          </w:tcPr>
          <w:p>
            <w:pPr>
              <w:jc w:val="left"/>
            </w:pPr>
            <w:r>
              <w:rPr/>
              <w:t>Appears once</w:t>
            </w:r>
          </w:p>
        </w:tc>
      </w:tr>
    </w:tbl>
    <w:p>
      <w:pPr>
        <w:pStyle w:val="Heading2"/>
      </w:pPr>
      <w:bookmarkStart w:id="26" w:name="md_21d73fac803abc9fd064976aa2c3"/>
      <w:bookmarkEnd w:id="26"/>
      <w:r>
        <w:rPr/>
        <w:t>DOTX formatting templates</w:t>
      </w:r>
    </w:p>
    <w:p>
      <w:pPr/>
      <w:r>
        <w:rPr/>
        <w:t xml:space="preserve">The same Markdown can use a blank macro-free </w:t>
      </w:r>
      <w:r>
        <w:rPr>
          <w:rFonts w:ascii="Consolas" w:hAnsi="Consolas"/>
        </w:rPr>
        <w:t>.dotx</w:t>
      </w:r>
      <w:r>
        <w:rPr/>
        <w:t xml:space="preserve"> file through </w:t>
      </w:r>
      <w:r>
        <w:rPr>
          <w:rFonts w:ascii="Consolas" w:hAnsi="Consolas"/>
        </w:rPr>
        <w:t>--template</w:t>
      </w:r>
      <w:r>
        <w:rPr/>
        <w:t xml:space="preserve">. Output remains an editable </w:t>
      </w:r>
      <w:r>
        <w:rPr>
          <w:rFonts w:ascii="Consolas" w:hAnsi="Consolas"/>
        </w:rPr>
        <w:t>.docx</w:t>
      </w:r>
      <w:r>
        <w:rPr/>
        <w:t>, and the source template stays unchanged.</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1.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w:t>
      </w:r>
      <w:r/>
      <w:r>
        <w:rPr/>
        <w:t xml:space="preserve">A </w:t>
      </w:r>
      <w:r>
        <w:rPr>
          <w:b/>
        </w:rPr>
        <w:t>formatted</w:t>
      </w:r>
      <w:r>
        <w:rPr/>
        <w:t xml:space="preserve"> explanation with a </w:t>
      </w:r>
      <w:hyperlink xmlns:ns0="http://schemas.openxmlformats.org/officeDocument/2006/relationships" ns0:id="rId1">
        <w:r>
          <w:rPr>
            <w:rStyle w:val="Hyperlink"/>
          </w:rPr>
          <w:t>reference link</w:t>
        </w:r>
      </w:hyperlink>
      <w:r>
        <w:rPr/>
        <w:t>.</w:t>
      </w:r>
    </w:p>
    <w:p>
      <w:pPr>
        <w:pStyle w:val="FootnoteText"/>
      </w:pPr>
      <w:r>
        <w:rPr/>
        <w:t>A second paragraph keeps the note content together.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7730B4D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9E6132FE"/>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A81A9034"/>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1F913175"/>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9C781D57"/>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FC9B84B9"/>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9A2A702F"/>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6">
    <w:nsid w:val="0D4C155C"/>
    <w:multiLevelType w:val="singleLevel"/>
    <w:tmpl w:val="D0A62B40"/>
    <w:lvl w:ilvl="0">
      <w:start w:val="1"/>
      <w:numFmt w:val="decimal"/>
      <w:pStyle w:val="ListNumber"/>
      <w:lvlText w:val="%1."/>
      <w:lvlJc w:val="left"/>
      <w:pPr>
        <w:tabs>
          <w:tab w:val="num" w:pos="360"/>
        </w:tabs>
        <w:ind w:left="360" w:hanging="360"/>
      </w:pPr>
    </w:lvl>
  </w:abstractNum>
  <w:abstractNum w:abstractNumId="17">
    <w:nsid w:val="5AE34D59"/>
    <w:multiLevelType w:val="singleLevel"/>
    <w:tmpl w:val="D0A62B40"/>
    <w:lvl w:ilvl="0">
      <w:start w:val="1"/>
      <w:numFmt w:val="decimal"/>
      <w:pStyle w:val="ListNumber"/>
      <w:lvlText w:val="%1."/>
      <w:lvlJc w:val="left"/>
      <w:pPr>
        <w:tabs>
          <w:tab w:val="num" w:pos="360"/>
        </w:tabs>
        <w:ind w:left="360" w:hanging="360"/>
      </w:pPr>
    </w:lvl>
  </w:abstractNum>
  <w:abstractNum w:abstractNumId="18">
    <w:nsid w:val="1BE27D60"/>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9">
    <w:nsid w:val="149258D0"/>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0">
    <w:nsid w:val="92BCC5FB"/>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1">
    <w:nsid w:val="B89B68F4"/>
    <w:multiLevelType w:val="singleLevel"/>
    <w:tmpl w:val="D0A62B40"/>
    <w:lvl w:ilvl="0">
      <w:start w:val="1"/>
      <w:numFmt w:val="decimal"/>
      <w:pStyle w:val="ListNumber"/>
      <w:lvlText w:val="%1."/>
      <w:lvlJc w:val="left"/>
      <w:pPr>
        <w:tabs>
          <w:tab w:val="num" w:pos="360"/>
        </w:tabs>
        <w:ind w:left="360" w:hanging="360"/>
      </w:pPr>
    </w:lvl>
  </w:abstractNum>
  <w:abstractNum w:abstractNumId="22">
    <w:nsid w:val="940A9063"/>
    <w:multiLevelType w:val="singleLevel"/>
    <w:tmpl w:val="38441652"/>
    <w:lvl w:ilvl="0">
      <w:start w:val="1"/>
      <w:numFmt w:val="decimal"/>
      <w:pStyle w:val="ListNumber2"/>
      <w:lvlText w:val="%1."/>
      <w:lvlJc w:val="left"/>
      <w:pPr>
        <w:tabs>
          <w:tab w:val="num" w:pos="720"/>
        </w:tabs>
        <w:ind w:left="720" w:hanging="360"/>
      </w:pPr>
    </w:lvl>
  </w:abstractNum>
  <w:abstractNum w:abstractNumId="23">
    <w:nsid w:val="35709BC1"/>
    <w:multiLevelType w:val="singleLevel"/>
    <w:tmpl w:val="FB12693A"/>
    <w:lvl w:ilvl="0">
      <w:start w:val="1"/>
      <w:numFmt w:val="decimal"/>
      <w:pStyle w:val="ListNumber3"/>
      <w:lvlText w:val="%1."/>
      <w:lvlJc w:val="left"/>
      <w:pPr>
        <w:tabs>
          <w:tab w:val="num" w:pos="1080"/>
        </w:tabs>
        <w:ind w:left="1080" w:hanging="360"/>
      </w:pPr>
    </w:lvl>
  </w:abstractNum>
  <w:abstractNum w:abstractNumId="24">
    <w:nsid w:val="94589360"/>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5">
    <w:nsid w:val="145B51CB"/>
    <w:multiLevelType w:val="singleLevel"/>
    <w:tmpl w:val="38441652"/>
    <w:lvl w:ilvl="0">
      <w:start w:val="1"/>
      <w:numFmt w:val="decimal"/>
      <w:pStyle w:val="ListNumber2"/>
      <w:lvlText w:val="%1."/>
      <w:lvlJc w:val="left"/>
      <w:pPr>
        <w:tabs>
          <w:tab w:val="num" w:pos="720"/>
        </w:tabs>
        <w:ind w:left="720" w:hanging="360"/>
      </w:pPr>
    </w:lvl>
  </w:abstractNum>
  <w:abstractNum w:abstractNumId="26">
    <w:nsid w:val="2C64E906"/>
    <w:multiLevelType w:val="singleLevel"/>
    <w:tmpl w:val="FB12693A"/>
    <w:lvl w:ilvl="0">
      <w:start w:val="1"/>
      <w:numFmt w:val="decimal"/>
      <w:pStyle w:val="ListNumber3"/>
      <w:lvlText w:val="%1."/>
      <w:lvlJc w:val="left"/>
      <w:pPr>
        <w:tabs>
          <w:tab w:val="num" w:pos="1080"/>
        </w:tabs>
        <w:ind w:left="1080" w:hanging="360"/>
      </w:pPr>
    </w:lvl>
  </w:abstractNum>
  <w:abstractNum w:abstractNumId="27">
    <w:nsid w:val="53E737A2"/>
    <w:multiLevelType w:val="singleLevel"/>
    <w:tmpl w:val="D0A62B40"/>
    <w:lvl w:ilvl="0">
      <w:start w:val="1"/>
      <w:numFmt w:val="decimal"/>
      <w:pStyle w:val="ListNumber"/>
      <w:lvlText w:val="%1."/>
      <w:lvlJc w:val="left"/>
      <w:pPr>
        <w:tabs>
          <w:tab w:val="num" w:pos="360"/>
        </w:tabs>
        <w:ind w:left="360" w:hanging="360"/>
      </w:pPr>
    </w:lvl>
  </w:abstractNum>
  <w:abstractNum w:abstractNumId="28">
    <w:nsid w:val="9A689CFB"/>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9">
    <w:nsid w:val="D1F6FA0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0">
    <w:nsid w:val="EBCC2F5C"/>
    <w:multiLevelType w:val="singleLevel"/>
    <w:tmpl w:val="D0A62B40"/>
    <w:lvl w:ilvl="0">
      <w:start w:val="1"/>
      <w:numFmt w:val="decimal"/>
      <w:pStyle w:val="ListNumber"/>
      <w:lvlText w:val="%1."/>
      <w:lvlJc w:val="left"/>
      <w:pPr>
        <w:tabs>
          <w:tab w:val="num" w:pos="360"/>
        </w:tabs>
        <w:ind w:left="360" w:hanging="360"/>
      </w:pPr>
    </w:lvl>
  </w:abstractNum>
  <w:abstractNum w:abstractNumId="31">
    <w:nsid w:val="BFEABEC4"/>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32">
    <w:nsid w:val="EF1400A3"/>
    <w:multiLevelType w:val="singleLevel"/>
    <w:tmpl w:val="D0A62B40"/>
    <w:lvl w:ilvl="0">
      <w:start w:val="1"/>
      <w:numFmt w:val="decimal"/>
      <w:pStyle w:val="ListNumber"/>
      <w:lvlText w:val="%1."/>
      <w:lvlJc w:val="left"/>
      <w:pPr>
        <w:tabs>
          <w:tab w:val="num" w:pos="360"/>
        </w:tabs>
        <w:ind w:left="360" w:hanging="360"/>
      </w:pPr>
    </w:lvl>
  </w:abstractNum>
  <w:abstractNum w:abstractNumId="33">
    <w:nsid w:val="61E34FA7"/>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3"/>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 w:type="paragraph" w:styleId="FootnoteText">
    <w:name w:val="Footnote Text"/>
    <w:basedOn w:val="Normal"/>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example.com/docs" TargetMode="External"/><Relationship Id="rId17" Type="http://schemas.openxmlformats.org/officeDocument/2006/relationships/hyperlink" Target="https://example.com/checklist" TargetMode="External"/><Relationship Id="rId18" Type="http://schemas.openxmlformats.org/officeDocument/2006/relationships/hyperlink" Target="https://github.com/pseudosavant/markdown-docx" TargetMode="External"/><Relationship Id="rId19" Type="http://schemas.openxmlformats.org/officeDocument/2006/relationships/image" Target="media/image6.png"/><Relationship Id="rId20" Type="http://schemas.openxmlformats.org/officeDocument/2006/relationships/footnotes" Target="footnotes1.xml"/></Relationships>
</file>

<file path=word/_rels/footnotes1.xml.rels><?xml version='1.0' encoding='UTF-8' standalone='yes'?>
<Relationships xmlns="http://schemas.openxmlformats.org/package/2006/relationships"><Relationship Id="rId1"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