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markdown-docx 1.0.0</w:t>
      </w:r>
    </w:p>
    <w:p>
      <w:pPr/>
      <w:r>
        <w:rPr/>
        <w:t>Predictable, editable Word documents from readable Markdown.</w:t>
      </w:r>
    </w:p>
    <w:p>
      <w:pPr/>
      <w:r>
        <w:rPr/>
        <w:t xml:space="preserve">This showcase demonstrates </w:t>
      </w:r>
      <w:r>
        <w:rPr>
          <w:b/>
        </w:rPr>
        <w:t>strong text</w:t>
      </w:r>
      <w:r>
        <w:rPr/>
        <w:t xml:space="preserve">, </w:t>
      </w:r>
      <w:r>
        <w:rPr>
          <w:i/>
        </w:rPr>
        <w:t>emphasis</w:t>
      </w:r>
      <w:r>
        <w:rPr/>
        <w:t xml:space="preserve">, and </w:t>
      </w:r>
      <w:r>
        <w:rPr>
          <w:rFonts w:ascii="Consolas" w:hAnsi="Consolas"/>
        </w:rPr>
        <w:t>inline code</w:t>
      </w:r>
      <w:r>
        <w:rPr/>
        <w:t>.</w:t>
      </w:r>
      <w:r>
        <w:br/>
      </w:r>
      <w:r>
        <w:rPr/>
        <w:t>This sentence follows an explicit hard line break.</w:t>
      </w:r>
    </w:p>
    <w:p>
      <w:pPr>
        <w:pStyle w:val="Quote"/>
      </w:pPr>
      <w:r>
        <w:rPr/>
        <w:t>The source remains ordinary Markdown while invisible comments carry Word layout instructions.</w:t>
      </w:r>
    </w:p>
    <w:p>
      <w:pPr>
        <w:pStyle w:val="Quote"/>
      </w:pPr>
      <w:r>
        <w:rPr/>
        <w:t>Templates and semantic styles own the visual system.</w:t>
      </w:r>
    </w:p>
    <w:p>
      <w:pPr>
        <w:pStyle w:val="Heading2"/>
      </w:pPr>
      <w:r>
        <w:rPr/>
        <w:t>Text hierarchy</w:t>
      </w:r>
    </w:p>
    <w:p>
      <w:pPr/>
      <w:r>
        <w:rPr/>
        <w:t>Headings do not create pages or sections. They map directly to the configured Word paragraph styles.</w:t>
      </w:r>
    </w:p>
    <w:p>
      <w:pPr>
        <w:pStyle w:val="Heading3"/>
      </w:pPr>
      <w:r>
        <w:rPr/>
        <w:t>Heading level three</w:t>
      </w:r>
    </w:p>
    <w:p>
      <w:pPr>
        <w:pStyle w:val="Heading4"/>
      </w:pPr>
      <w:r>
        <w:rPr/>
        <w:t>Heading level four</w:t>
      </w:r>
    </w:p>
    <w:p>
      <w:pPr>
        <w:pStyle w:val="Heading5"/>
      </w:pPr>
      <w:r>
        <w:rPr/>
        <w:t>Heading level five</w:t>
      </w:r>
    </w:p>
    <w:p>
      <w:pPr>
        <w:pStyle w:val="Heading6"/>
      </w:pPr>
      <w:r>
        <w:rPr/>
        <w:t>Heading level six</w:t>
      </w:r>
    </w:p>
    <w:p>
      <w:pPr>
        <w:pStyle w:val="Heading2"/>
      </w:pPr>
      <w:r>
        <w:rPr/>
        <w:t>Fenced code</w:t>
      </w:r>
    </w:p>
    <w:p>
      <w:pPr>
        <w:pStyle w:val="CodeBlock"/>
      </w:pPr>
      <w:r>
        <w:t>from pathlib import Path</w:t>
        <w:br/>
        <w:br/>
        <w:t>output = Path("brief.docx")</w:t>
        <w:br/>
        <w:t>print(output)</w:t>
      </w:r>
    </w:p>
    <w:p>
      <w:pPr>
        <w:pStyle w:val="Heading2"/>
      </w:pPr>
      <w:r>
        <w:rPr/>
        <w:t>Mixed nested lists</w:t>
      </w:r>
    </w:p>
    <w:p>
      <w:pPr>
        <w:pStyle w:val="ListBullet"/>
      </w:pPr>
      <w:r>
        <w:rPr/>
        <w:t>Markdown remains readable</w:t>
      </w:r>
    </w:p>
    <w:p>
      <w:pPr>
        <w:pStyle w:val="ListNumber2"/>
      </w:pPr>
      <w:r>
        <w:rPr/>
        <w:t>Metadata stays invisible</w:t>
      </w:r>
    </w:p>
    <w:p>
      <w:pPr>
        <w:pStyle w:val="ListBullet3"/>
      </w:pPr>
      <w:r>
        <w:rPr/>
        <w:t>Validation stays strict</w:t>
      </w:r>
    </w:p>
    <w:p>
      <w:pPr>
        <w:pStyle w:val="ListBullet"/>
      </w:pPr>
      <w:r>
        <w:rPr/>
        <w:t>Word content remains editable</w:t>
      </w:r>
    </w:p>
    <w:p>
      <w:pPr>
        <w:pStyle w:val="ListNumber"/>
      </w:pPr>
      <w:r>
        <w:rPr/>
        <w:t>Inspect the syntax</w:t>
      </w:r>
    </w:p>
    <w:p>
      <w:pPr>
        <w:pStyle w:val="ListBullet2"/>
      </w:pPr>
      <w:r>
        <w:rPr/>
        <w:t>Inspect the template</w:t>
      </w:r>
    </w:p>
    <w:p>
      <w:pPr>
        <w:pStyle w:val="ListNumber"/>
      </w:pPr>
      <w:r>
        <w:rPr/>
        <w:t>Render the document</w:t>
      </w:r>
    </w:p>
    <w:p>
      <w:pPr>
        <w:pStyle w:val="ListNumber"/>
      </w:pPr>
      <w:r>
        <w:rPr/>
        <w:t>Review the editable result</w:t>
      </w:r>
    </w:p>
    <w:p>
      <w:r>
        <w:br w:type="page"/>
      </w:r>
    </w:p>
    <w:p>
      <w:pPr>
        <w:pStyle w:val="Heading2"/>
      </w:pPr>
      <w:r>
        <w:rPr/>
        <w:t>Native table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789"/>
        <w:gridCol w:w="1930"/>
        <w:gridCol w:w="1930"/>
      </w:tblGrid>
      <w:tr>
        <w:tc>
          <w:tcPr>
            <w:tcW w:type="dxa" w:w="5789"/>
          </w:tcPr>
          <w:p>
            <w:pPr>
              <w:jc w:val="left"/>
            </w:pPr>
            <w:r>
              <w:rPr/>
              <w:t>Capability</w:t>
            </w:r>
          </w:p>
        </w:tc>
        <w:tc>
          <w:tcPr>
            <w:tcW w:type="dxa" w:w="1930"/>
          </w:tcPr>
          <w:p>
            <w:pPr>
              <w:jc w:val="center"/>
            </w:pPr>
            <w:r>
              <w:rPr/>
              <w:t>Source</w:t>
            </w:r>
          </w:p>
        </w:tc>
        <w:tc>
          <w:tcPr>
            <w:tcW w:type="dxa" w:w="1930"/>
          </w:tcPr>
          <w:p>
            <w:pPr>
              <w:jc w:val="right"/>
            </w:pPr>
            <w:r>
              <w:rPr/>
              <w:t>Output</w:t>
            </w:r>
          </w:p>
        </w:tc>
      </w:tr>
      <w:tr>
        <w:tc>
          <w:tcPr>
            <w:tcW w:type="dxa" w:w="5789"/>
          </w:tcPr>
          <w:p>
            <w:pPr>
              <w:jc w:val="left"/>
            </w:pPr>
            <w:r>
              <w:rPr/>
              <w:t>Headings</w:t>
            </w:r>
          </w:p>
        </w:tc>
        <w:tc>
          <w:tcPr>
            <w:tcW w:type="dxa" w:w="1930"/>
          </w:tcPr>
          <w:p>
            <w:pPr>
              <w:jc w:val="center"/>
            </w:pPr>
            <w:r>
              <w:rPr/>
              <w:t>Markdown</w:t>
            </w:r>
          </w:p>
        </w:tc>
        <w:tc>
          <w:tcPr>
            <w:tcW w:type="dxa" w:w="1930"/>
          </w:tcPr>
          <w:p>
            <w:pPr>
              <w:jc w:val="right"/>
            </w:pPr>
            <w:r>
              <w:rPr/>
              <w:t>Word styles</w:t>
            </w:r>
          </w:p>
        </w:tc>
      </w:tr>
      <w:tr>
        <w:tc>
          <w:tcPr>
            <w:tcW w:type="dxa" w:w="5789"/>
          </w:tcPr>
          <w:p>
            <w:pPr>
              <w:jc w:val="left"/>
            </w:pPr>
            <w:r>
              <w:rPr/>
              <w:t>Tables</w:t>
            </w:r>
          </w:p>
        </w:tc>
        <w:tc>
          <w:tcPr>
            <w:tcW w:type="dxa" w:w="1930"/>
          </w:tcPr>
          <w:p>
            <w:pPr>
              <w:jc w:val="center"/>
            </w:pPr>
            <w:r>
              <w:rPr/>
              <w:t>Pipe syntax</w:t>
            </w:r>
          </w:p>
        </w:tc>
        <w:tc>
          <w:tcPr>
            <w:tcW w:type="dxa" w:w="1930"/>
          </w:tcPr>
          <w:p>
            <w:pPr>
              <w:jc w:val="right"/>
            </w:pPr>
            <w:r>
              <w:rPr/>
              <w:t>Native table</w:t>
            </w:r>
          </w:p>
        </w:tc>
      </w:tr>
      <w:tr>
        <w:tc>
          <w:tcPr>
            <w:tcW w:type="dxa" w:w="5789"/>
          </w:tcPr>
          <w:p>
            <w:pPr>
              <w:jc w:val="left"/>
            </w:pPr>
            <w:r>
              <w:rPr/>
              <w:t>Images</w:t>
            </w:r>
          </w:p>
        </w:tc>
        <w:tc>
          <w:tcPr>
            <w:tcW w:type="dxa" w:w="1930"/>
          </w:tcPr>
          <w:p>
            <w:pPr>
              <w:jc w:val="center"/>
            </w:pPr>
            <w:r>
              <w:rPr/>
              <w:t>Local or remote</w:t>
            </w:r>
          </w:p>
        </w:tc>
        <w:tc>
          <w:tcPr>
            <w:tcW w:type="dxa" w:w="1930"/>
          </w:tcPr>
          <w:p>
            <w:pPr>
              <w:jc w:val="right"/>
            </w:pPr>
            <w:r>
              <w:rPr/>
              <w:t>Inline drawing</w:t>
            </w:r>
          </w:p>
        </w:tc>
      </w:tr>
    </w:tbl>
    <w:p>
      <w:pPr>
        <w:pStyle w:val="Heading2"/>
      </w:pPr>
      <w:r>
        <w:rPr/>
        <w:t>Standalone image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3714" cy="1758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3714" cy="1758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/>
        <w:t>Explicit page break</w:t>
      </w:r>
    </w:p>
    <w:p>
      <w:pPr/>
      <w:r>
        <w:rPr/>
        <w:t>This heading begins after a page break, but it remains in the same Word section.</w:t>
      </w:r>
    </w:p>
    <w:p>
      <w:pPr/>
      <w:r>
        <w:rPr/>
        <w:t xml:space="preserve">An inline image behaves like a character in its paragraph: </w:t>
      </w:r>
      <w:r>
        <w:rPr/>
        <w:drawing>
          <wp:inline xmlns:a="http://schemas.openxmlformats.org/drawingml/2006/main" xmlns:pic="http://schemas.openxmlformats.org/drawingml/2006/picture">
            <wp:extent cx="1280054" cy="4266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80054" cy="426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9"/>
          <w:footerReference w:type="default" r:id="rId10"/>
          <w:pgSz w:w="12240" w:h="15840"/>
          <w:pgMar w:top="1224" w:right="1296" w:bottom="1224" w:left="1296" w:header="708" w:footer="708" w:gutter="0"/>
          <w:cols w:space="720"/>
          <w:docGrid w:linePitch="360"/>
        </w:sectPr>
      </w:pPr>
    </w:p>
    <w:p>
      <w:pPr>
        <w:pStyle w:val="Heading1"/>
      </w:pPr>
      <w:r>
        <w:rPr/>
        <w:t>Landscape section</w:t>
      </w:r>
    </w:p>
    <w:p>
      <w:pPr/>
      <w:r>
        <w:rPr/>
        <w:t>Each section starts from the document defaults, then applies the declared overrides.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0"/>
        <w:gridCol w:w="3420"/>
        <w:gridCol w:w="3420"/>
        <w:gridCol w:w="3420"/>
      </w:tblGrid>
      <w:tr>
        <w:tc>
          <w:tcPr>
            <w:tcW w:type="dxa" w:w="3420"/>
          </w:tcPr>
          <w:p>
            <w:pPr>
              <w:jc w:val="left"/>
            </w:pPr>
            <w:r>
              <w:rPr/>
              <w:t>Boundary</w:t>
            </w:r>
          </w:p>
        </w:tc>
        <w:tc>
          <w:tcPr>
            <w:tcW w:type="dxa" w:w="3420"/>
          </w:tcPr>
          <w:p>
            <w:pPr>
              <w:jc w:val="center"/>
            </w:pPr>
            <w:r>
              <w:rPr/>
              <w:t>Page size</w:t>
            </w:r>
          </w:p>
        </w:tc>
        <w:tc>
          <w:tcPr>
            <w:tcW w:type="dxa" w:w="3420"/>
          </w:tcPr>
          <w:p>
            <w:pPr>
              <w:jc w:val="center"/>
            </w:pPr>
            <w:r>
              <w:rPr/>
              <w:t>Orientation</w:t>
            </w:r>
          </w:p>
        </w:tc>
        <w:tc>
          <w:tcPr>
            <w:tcW w:type="dxa" w:w="3420"/>
          </w:tcPr>
          <w:p>
            <w:pPr>
              <w:jc w:val="right"/>
            </w:pPr>
            <w:r>
              <w:rPr/>
              <w:t>Inheritance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/>
              <w:t>Document</w:t>
            </w:r>
          </w:p>
        </w:tc>
        <w:tc>
          <w:tcPr>
            <w:tcW w:type="dxa" w:w="3420"/>
          </w:tcPr>
          <w:p>
            <w:pPr>
              <w:jc w:val="center"/>
            </w:pPr>
            <w:r>
              <w:rPr/>
              <w:t>Letter</w:t>
            </w:r>
          </w:p>
        </w:tc>
        <w:tc>
          <w:tcPr>
            <w:tcW w:type="dxa" w:w="3420"/>
          </w:tcPr>
          <w:p>
            <w:pPr>
              <w:jc w:val="center"/>
            </w:pPr>
            <w:r>
              <w:rPr/>
              <w:t>Portrait</w:t>
            </w:r>
          </w:p>
        </w:tc>
        <w:tc>
          <w:tcPr>
            <w:tcW w:type="dxa" w:w="3420"/>
          </w:tcPr>
          <w:p>
            <w:pPr>
              <w:jc w:val="right"/>
            </w:pPr>
            <w:r>
              <w:rPr/>
              <w:t>Defaults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/>
              <w:t>Analysis</w:t>
            </w:r>
          </w:p>
        </w:tc>
        <w:tc>
          <w:tcPr>
            <w:tcW w:type="dxa" w:w="3420"/>
          </w:tcPr>
          <w:p>
            <w:pPr>
              <w:jc w:val="center"/>
            </w:pPr>
            <w:r>
              <w:rPr/>
              <w:t>Letter</w:t>
            </w:r>
          </w:p>
        </w:tc>
        <w:tc>
          <w:tcPr>
            <w:tcW w:type="dxa" w:w="3420"/>
          </w:tcPr>
          <w:p>
            <w:pPr>
              <w:jc w:val="center"/>
            </w:pPr>
            <w:r>
              <w:rPr/>
              <w:t>Landscape</w:t>
            </w:r>
          </w:p>
        </w:tc>
        <w:tc>
          <w:tcPr>
            <w:tcW w:type="dxa" w:w="3420"/>
          </w:tcPr>
          <w:p>
            <w:pPr>
              <w:jc w:val="right"/>
            </w:pPr>
            <w:r>
              <w:rPr/>
              <w:t>Defaults plus overrides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/>
              <w:t>Reset</w:t>
            </w:r>
          </w:p>
        </w:tc>
        <w:tc>
          <w:tcPr>
            <w:tcW w:type="dxa" w:w="3420"/>
          </w:tcPr>
          <w:p>
            <w:pPr>
              <w:jc w:val="center"/>
            </w:pPr>
            <w:r>
              <w:rPr/>
              <w:t>Letter</w:t>
            </w:r>
          </w:p>
        </w:tc>
        <w:tc>
          <w:tcPr>
            <w:tcW w:type="dxa" w:w="3420"/>
          </w:tcPr>
          <w:p>
            <w:pPr>
              <w:jc w:val="center"/>
            </w:pPr>
            <w:r>
              <w:rPr/>
              <w:t>Portrait</w:t>
            </w:r>
          </w:p>
        </w:tc>
        <w:tc>
          <w:tcPr>
            <w:tcW w:type="dxa" w:w="3420"/>
          </w:tcPr>
          <w:p>
            <w:pPr>
              <w:jc w:val="right"/>
            </w:pPr>
            <w:r>
              <w:rPr/>
              <w:t>Document defaults</w:t>
            </w:r>
          </w:p>
        </w:tc>
      </w:tr>
    </w:tbl>
    <w:p>
      <w:pPr>
        <w:sectPr>
          <w:pgSz w:w="15840" w:h="12240" w:orient="landscape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pStyle w:val="Heading1"/>
      </w:pPr>
      <w:r>
        <w:rPr/>
        <w:t>Back to document defaults</w:t>
      </w:r>
    </w:p>
    <w:p>
      <w:pPr/>
      <w:r>
        <w:rPr/>
        <w:t xml:space="preserve">The final section returns to the original portrait geometry. The output remains a normal editable </w:t>
      </w:r>
      <w:r>
        <w:rPr>
          <w:rFonts w:ascii="Consolas" w:hAnsi="Consolas"/>
        </w:rPr>
        <w:t>.docx</w:t>
      </w:r>
      <w:r>
        <w:rPr/>
        <w:t xml:space="preserve"> file.</w:t>
      </w:r>
    </w:p>
    <w:sectPr w:rsidR="00FC693F" w:rsidRPr="0006063C" w:rsidSect="00034616">
      <w:pgSz w:w="12240" w:h="15840"/>
      <w:pgMar w:top="1224" w:right="1296" w:bottom="1224" w:left="129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8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4D78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120" w:after="60"/>
      <w:outlineLvl w:val="4"/>
    </w:pPr>
    <w:rPr>
      <w:rFonts w:asciiTheme="majorHAnsi" w:eastAsiaTheme="majorEastAsia" w:hAnsiTheme="majorHAnsi" w:cstheme="majorBidi" w:ascii="Calibri" w:hAnsi="Calibri"/>
      <w:b/>
      <w:color w:val="555555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120" w:after="60"/>
      <w:outlineLvl w:val="5"/>
    </w:pPr>
    <w:rPr>
      <w:rFonts w:asciiTheme="majorHAnsi" w:eastAsiaTheme="majorEastAsia" w:hAnsiTheme="majorHAnsi" w:cstheme="majorBidi" w:ascii="Calibri" w:hAnsi="Calibri"/>
      <w:b/>
      <w:i/>
      <w:iCs/>
      <w:color w:val="555555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160" w:line="280" w:lineRule="auto"/>
      <w:contextualSpacing/>
    </w:pPr>
    <w:rPr>
      <w:rFonts w:ascii="Calibri" w:hAnsi="Calibri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160" w:line="280" w:lineRule="auto"/>
      <w:contextualSpacing/>
    </w:pPr>
    <w:rPr>
      <w:rFonts w:ascii="Calibri" w:hAnsi="Calibri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160" w:line="280" w:lineRule="auto"/>
      <w:contextualSpacing/>
    </w:pPr>
    <w:rPr>
      <w:rFonts w:ascii="Calibri" w:hAnsi="Calibri"/>
      <w:sz w:val="22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spacing w:after="160" w:line="280" w:lineRule="auto"/>
      <w:contextualSpacing/>
    </w:pPr>
    <w:rPr>
      <w:rFonts w:ascii="Calibri" w:hAnsi="Calibri"/>
      <w:sz w:val="22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after="120"/>
    </w:pPr>
    <w:rPr>
      <w:rFonts w:ascii="Calibri" w:hAnsi="Calibri"/>
      <w:i/>
      <w:iCs/>
      <w:color w:val="555555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160" w:line="240" w:lineRule="auto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markdown-docx default formatting template</dc:title>
  <dc:subject>Blank formatting-only DOCX template</dc:subject>
  <dc:creator>John Paul Ellis</dc:creator>
  <cp:keywords/>
  <dc:description>Generated with supported public python-docx APIs.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