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
      KNOWN BUGS:
      div
        h2
        div
          textnode (WONT BE WRAPPED IN A W:P)
          div
            table
            span
              text
    -->
    <w:p xmlns:w="http://schemas.openxmlformats.org/wordprocessingml/2006/main" xmlns:pkg="http://schemas.microsoft.com/office/2006/xmlPackage" xmlns:str="http://exslt.org/strings" xmlns:fn="http://www.w3.org/2005/xpath-functions">
      <w:pPr>
        <w:pStyle w:val="Heading1"/>
      </w:pPr>
      <w:r>
        <w:t xml:space="preserve">Image Analysis Report</w:t>
      </w:r>
    </w:p>
    <w:p xmlns:w="http://schemas.openxmlformats.org/wordprocessingml/2006/main" xmlns:pkg="http://schemas.microsoft.com/office/2006/xmlPackage" xmlns:str="http://exslt.org/strings" xmlns:fn="http://www.w3.org/2005/xpath-functions">
      <w:r>
        <w:t xml:space="preserve">Generated: April 29, 2026 at 07:13 PM</w:t>
      </w:r>
    </w:p>
    <w:p xmlns:w="http://schemas.openxmlformats.org/wordprocessingml/2006/main" xmlns:pkg="http://schemas.microsoft.com/office/2006/xmlPackage" xmlns:str="http://exslt.org/strings" xmlns:fn="http://www.w3.org/2005/xpath-functions">
      <w:pPr>
        <w:pStyle w:val="Heading2"/>
      </w:pPr>
      <w:r>
        <w:t xml:space="preserve">Slide 1</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image1.png</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Texas A&amp;M University: Tradition, Excellence, and a Vision for the Future.</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The official logo of Texas A&amp;M University is prominently displayed, featuring the iconic interlocking “A&amp;M” in white against a solid maroon background. Below the emblem, the full university name, “TEXAS A&amp;M UNIVERSITY,” is presented in a classic serif typeface. This visual immediately establishes the presentation’s focus and signals a discussion of the institution’s identity, history, and future aspirations.</w:t>
      </w:r>
    </w:p>
    <w:p xmlns:w="http://schemas.openxmlformats.org/wordprocessingml/2006/main" xmlns:pkg="http://schemas.microsoft.com/office/2006/xmlPackage" xmlns:str="http://exslt.org/strings" xmlns:fn="http://www.w3.org/2005/xpath-functions">
      <w:pPr>
        <w:pStyle w:val="Heading2"/>
      </w:pPr>
      <w:r>
        <w:t xml:space="preserve">Slide 4</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image3.png</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Building a Robust Incident Response Plan: Five Key Steps.</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Following an introduction to Texas A&amp;M University’s values, this graphic outlines a five-step process for developing a comprehensive incident response plan. A numbered, circular pathway highlights key stages—Preparation, Detection and Analysis, Containment/Eradication/Recovery, Post-Incident Activity, and Testing—emphasizing a proactive and iterative approach to security preparedness. The design visually communicates a structured methodology for addressing and mitigating potential incidents, supporting the university’s commitment to excellence and future vision.</w:t>
      </w:r>
    </w:p>
    <w:p xmlns:w="http://schemas.openxmlformats.org/wordprocessingml/2006/main" xmlns:pkg="http://schemas.microsoft.com/office/2006/xmlPackage" xmlns:str="http://exslt.org/strings" xmlns:fn="http://www.w3.org/2005/xpath-functions">
      <w:pPr>
        <w:pStyle w:val="Heading2"/>
      </w:pPr>
      <w:r>
        <w:t xml:space="preserve">Slide 6</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image4.png</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Automated Threat Response: From Detection to System Integration.</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Following the establishment of a robust incident response plan, this diagram illustrates the automated process of converting threat detection into system integration. It depicts a workflow beginning with an analyst observing a threat, then writing code for detection, uploading it to a repository, and finally integrating it with a SIEM through a CI/CD workflow—representing a proactive and efficient response to security incidents. This automated cycle signifies a move beyond reactive measures toward a continuously improving security posture for Texas A&amp;M University.</w:t>
      </w:r>
    </w:p>
    <w:p xmlns:w="http://schemas.openxmlformats.org/wordprocessingml/2006/main" xmlns:pkg="http://schemas.microsoft.com/office/2006/xmlPackage" xmlns:str="http://exslt.org/strings" xmlns:fn="http://www.w3.org/2005/xpath-functions">
      <w:pPr>
        <w:pStyle w:val="Heading2"/>
      </w:pPr>
      <w:r>
        <w:t xml:space="preserve">Slide 7</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image2.png</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Telemetry Pipeline: Collecting, Enriching, and Routing Data for Insights.</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A diagram illustrates the flow of telemetry data through a pipeline, beginning with collection from applications, infrastructure, and cloud platforms, then progressing through transformation, enrichment, and routing stages. Building upon the previous discussion of automated threat response, this pipeline visually represents how raw data is processed and directed to key security tools like SIEM and log analysis platforms for deeper investigation. Ultimately, the pipeline enables informed decision-making by delivering contextualized insights, while also providing an option to discard irrelevant data.</w:t>
      </w:r>
    </w:p>
    <w:p xmlns:w="http://schemas.openxmlformats.org/wordprocessingml/2006/main" xmlns:pkg="http://schemas.microsoft.com/office/2006/xmlPackage" xmlns:str="http://exslt.org/strings" xmlns:fn="http://www.w3.org/2005/xpath-functions">
      <w:pPr>
        <w:pStyle w:val="Heading2"/>
      </w:pPr>
      <w:r>
        <w:t xml:space="preserve">Slide 8</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image5.png</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Threat Intelligence: Connecting Security Domains for Proactive Defense.</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A circular diagram illustrates how threat intelligence acts as a central component, seamlessly connecting key security domains—Security Leadership, Threat Analysis, Security Operations, Vulnerability Management, and Incident Response—to enable proactive defense. Building upon the previous discussion of data collection, automated response, and incident handling, the graphic emphasizes how shared intelligence accelerates processes like triage, attribution, and prioritization across these traditionally siloed areas. Each domain’s connection to threat intelligence is further clarified with accompanying text detailing the resulting benefits for an organization’s security posture.</w:t>
      </w:r>
    </w:p>
    <w:p xmlns:w="http://schemas.openxmlformats.org/wordprocessingml/2006/main" xmlns:pkg="http://schemas.microsoft.com/office/2006/xmlPackage" xmlns:str="http://exslt.org/strings" xmlns:fn="http://www.w3.org/2005/xpath-functions">
      <w:pPr>
        <w:pStyle w:val="Heading2"/>
      </w:pPr>
      <w:r>
        <w:t xml:space="preserve">Slide 9</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image6.png</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Network Segmentation: Isolating Critical Assets for Enhanced Security Posture.</w:t>
      </w:r>
    </w:p>
    <!--Divs should create a p if nothing above them has and nothing below them will-->
    <w:p xmlns:w="http://schemas.openxmlformats.org/wordprocessingml/2006/main" xmlns:pkg="http://schemas.microsoft.com/office/2006/xmlPackage" xmlns:str="http://exslt.org/strings" xmlns:fn="http://www.w3.org/2005/xpath-functions">
      <w:r>
        <w:t xml:space="preserve">A diagram illustrates network segmentation, depicting a central connection to the Internet branching out into isolated networks for Guest WiFi, general use, PCI compliance, and IoT devices. Following discussions on threat intelligence and automated response, this visual demonstrates a proactive security measure to contain potential breaches and limit the blast radius of incidents. By separating critical assets, organizations can better protect sensitive data and maintain operational resilience, building upon the foundation of a robust incident response plan.</w:t>
      </w:r>
    </w:p>
    <w:sectPr w:rsidR="00187EAF" w:rsidRPr="00E017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r="http://schemas.openxmlformats.org/officeDocument/2006/relationships" xmlns:m="http://schemas.openxmlformats.org/officeDocument/2006/math" xmlns:wp14="http://schemas.microsoft.com/office/word/2010/wordprocessingDrawing" xmlns:wp="http://schemas.openxmlformats.org/drawingml/2006/wordprocessingDrawing"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http://schemas.openxmlformats.org/wordprocessingml/2006/main" xmlns:pkg="http://schemas.microsoft.com/office/2006/xmlPackage" xmlns:str="http://exslt.org/strings" xmlns:fn="http://www.w3.org/2005/xpath-fun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F10"/>
    <w:rsid w:val="00042D86"/>
    <w:rsid w:val="000629CC"/>
    <w:rsid w:val="00181FD4"/>
    <w:rsid w:val="00187EAF"/>
    <w:rsid w:val="001F2243"/>
    <w:rsid w:val="002C44F1"/>
    <w:rsid w:val="003A7E12"/>
    <w:rsid w:val="00556BF4"/>
    <w:rsid w:val="005C665D"/>
    <w:rsid w:val="00735B8C"/>
    <w:rsid w:val="00756242"/>
    <w:rsid w:val="009B6CCC"/>
    <w:rsid w:val="00A07F5D"/>
    <w:rsid w:val="00A543CD"/>
    <w:rsid w:val="00AA70B5"/>
    <w:rsid w:val="00B268BF"/>
    <w:rsid w:val="00C03580"/>
    <w:rsid w:val="00C04F10"/>
    <w:rsid w:val="00C67135"/>
    <w:rsid w:val="00C76E13"/>
    <w:rsid w:val="00CC0462"/>
    <w:rsid w:val="00E01725"/>
    <w:rsid w:val="00E82CD0"/>
    <w:rsid w:val="00E87285"/>
    <w:rsid w:val="00E90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A84CEC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lang w:eastAsia="ja-JP"/>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lang w:eastAsia="ja-JP"/>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lang w:eastAsia="ja-JP"/>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lang w:eastAsia="ja-JP"/>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lang w:eastAsia="ja-JP"/>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lang w:eastAsia="ja-JP"/>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lang w:eastAsia="ja-JP"/>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lang w:eastAsia="ja-JP"/>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