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4" w:after="0"/>
        <w:ind w:left="2108" w:right="2112" w:hanging="0"/>
        <w:jc w:val="center"/>
        <w:rPr/>
      </w:pPr>
      <w:r>
        <w:rPr>
          <w:rFonts w:ascii="Times New Roman" w:hAnsi="Times New Roman"/>
          <w:sz w:val="28"/>
        </w:rPr>
        <w:t>МИНОБРНАУКИ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РОССИИ</w:t>
      </w:r>
    </w:p>
    <w:p>
      <w:pPr>
        <w:pStyle w:val="Normal"/>
        <w:spacing w:lineRule="auto" w:line="360" w:before="164" w:after="0"/>
        <w:ind w:left="1726" w:right="1734" w:hanging="0"/>
        <w:jc w:val="center"/>
        <w:rPr/>
      </w:pPr>
      <w:r>
        <w:rPr>
          <w:rFonts w:ascii="Times New Roman" w:hAnsi="Times New Roman"/>
          <w:sz w:val="28"/>
        </w:rPr>
        <w:t>САНКТ-ПЕТЕРБУРГСКИЙ ГОСУДАРСТВЕННЫЙ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ЭЛЕКТРОТЕХНИЧЕСКИЙ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</w:p>
    <w:p>
      <w:pPr>
        <w:pStyle w:val="Normal"/>
        <w:spacing w:lineRule="exact" w:line="321"/>
        <w:ind w:left="1726" w:right="1733" w:hanging="0"/>
        <w:jc w:val="center"/>
        <w:rPr/>
      </w:pPr>
      <w:r>
        <w:rPr>
          <w:rFonts w:ascii="Times New Roman" w:hAnsi="Times New Roman"/>
          <w:sz w:val="28"/>
        </w:rPr>
        <w:t>«ЛЭТИ»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ИМ.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В.И.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УЛЬЯНОВА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(ЛЕНИНА)</w:t>
      </w:r>
    </w:p>
    <w:p>
      <w:pPr>
        <w:pStyle w:val="Normal"/>
        <w:spacing w:before="160" w:after="0"/>
        <w:ind w:left="1726" w:right="1727" w:hanging="0"/>
        <w:jc w:val="center"/>
        <w:rPr/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eastAsia="Consolas" w:cs="Consolas" w:ascii="Times New Roman" w:hAnsi="Times New Roman"/>
          <w:spacing w:val="-2"/>
          <w:sz w:val="28"/>
          <w:lang w:val="ru-RU"/>
        </w:rPr>
        <w:t>БЖД</w:t>
      </w:r>
    </w:p>
    <w:p>
      <w:pPr>
        <w:pStyle w:val="TextBody"/>
        <w:ind w:lef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ind w:left="0" w:hanging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TextBody"/>
        <w:spacing w:before="1" w:after="0"/>
        <w:ind w:left="0" w:hanging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Heading1"/>
        <w:spacing w:before="0" w:after="0"/>
        <w:ind w:left="1726" w:right="1733" w:hanging="0"/>
        <w:jc w:val="center"/>
        <w:rPr/>
      </w:pPr>
      <w:r>
        <w:rPr/>
        <w:t>ОТЧЕТ</w:t>
      </w:r>
    </w:p>
    <w:p>
      <w:pPr>
        <w:pStyle w:val="Heading1"/>
        <w:spacing w:before="0" w:after="0"/>
        <w:ind w:left="1726" w:right="1733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по</w:t>
      </w:r>
      <w:r>
        <w:rPr>
          <w:b w:val="false"/>
          <w:bCs w:val="false"/>
          <w:spacing w:val="-2"/>
          <w:sz w:val="28"/>
        </w:rPr>
        <w:t xml:space="preserve"> </w:t>
      </w:r>
      <w:r>
        <w:rPr>
          <w:b w:val="false"/>
          <w:bCs w:val="false"/>
          <w:sz w:val="28"/>
        </w:rPr>
        <w:t>лабораторной</w:t>
      </w:r>
      <w:r>
        <w:rPr>
          <w:b w:val="false"/>
          <w:bCs w:val="false"/>
          <w:spacing w:val="-5"/>
          <w:sz w:val="28"/>
        </w:rPr>
        <w:t xml:space="preserve"> </w:t>
      </w:r>
      <w:r>
        <w:rPr>
          <w:b w:val="false"/>
          <w:bCs w:val="false"/>
          <w:sz w:val="28"/>
        </w:rPr>
        <w:t>работе</w:t>
      </w:r>
      <w:r>
        <w:rPr>
          <w:b w:val="false"/>
          <w:bCs w:val="false"/>
          <w:spacing w:val="1"/>
          <w:sz w:val="28"/>
        </w:rPr>
        <w:t xml:space="preserve"> </w:t>
      </w:r>
      <w:r>
        <w:rPr>
          <w:b w:val="false"/>
          <w:bCs w:val="false"/>
          <w:sz w:val="28"/>
        </w:rPr>
        <w:t>№</w:t>
      </w:r>
      <w:r>
        <w:rPr>
          <w:b w:val="false"/>
          <w:bCs w:val="false"/>
          <w:spacing w:val="-4"/>
          <w:sz w:val="28"/>
        </w:rPr>
        <w:t xml:space="preserve"> </w:t>
      </w:r>
      <w:r>
        <w:rPr>
          <w:b w:val="false"/>
          <w:bCs w:val="false"/>
          <w:spacing w:val="-4"/>
          <w:sz w:val="28"/>
        </w:rPr>
        <w:t>7</w:t>
      </w:r>
    </w:p>
    <w:p>
      <w:pPr>
        <w:pStyle w:val="Normal"/>
        <w:spacing w:before="161" w:after="0"/>
        <w:ind w:hanging="0"/>
        <w:jc w:val="center"/>
        <w:rPr/>
      </w:pPr>
      <w:r>
        <w:rPr>
          <w:rFonts w:ascii="Times New Roman" w:hAnsi="Times New Roman"/>
          <w:sz w:val="28"/>
        </w:rPr>
        <w:t>по дисциплине «</w:t>
      </w:r>
      <w:r>
        <w:rPr>
          <w:rFonts w:eastAsia="Consolas" w:cs="Consolas" w:ascii="Times New Roman" w:hAnsi="Times New Roman"/>
          <w:sz w:val="28"/>
          <w:lang w:val="ru-RU"/>
        </w:rPr>
        <w:t>Безопасность жизнедеятельности</w:t>
      </w:r>
      <w:r>
        <w:rPr>
          <w:rFonts w:ascii="Times New Roman" w:hAnsi="Times New Roman"/>
          <w:sz w:val="28"/>
        </w:rPr>
        <w:t>»</w:t>
      </w:r>
    </w:p>
    <w:p>
      <w:pPr>
        <w:pStyle w:val="Normal"/>
        <w:widowControl w:val="false"/>
        <w:bidi w:val="0"/>
        <w:spacing w:lineRule="auto" w:line="360" w:before="163" w:after="0"/>
        <w:ind w:left="0" w:right="0" w:hanging="0"/>
        <w:jc w:val="center"/>
        <w:rPr/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4"/>
          <w:sz w:val="28"/>
        </w:rPr>
        <w:t xml:space="preserve"> Исследование параметров производственного шума и определение эффективности мероприятий по защите от шума</w:t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2" w:after="1"/>
        <w:ind w:left="0" w:hanging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tbl>
      <w:tblPr>
        <w:tblStyle w:val="TableNormal"/>
        <w:tblW w:w="9543" w:type="dxa"/>
        <w:jc w:val="left"/>
        <w:tblInd w:w="117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213"/>
        <w:gridCol w:w="2484"/>
        <w:gridCol w:w="2846"/>
      </w:tblGrid>
      <w:tr>
        <w:trPr>
          <w:trHeight w:val="471" w:hRule="atLeast"/>
        </w:trPr>
        <w:tc>
          <w:tcPr>
            <w:tcW w:w="4213" w:type="dxa"/>
            <w:tcBorders/>
          </w:tcPr>
          <w:p>
            <w:pPr>
              <w:pStyle w:val="TableParagraph"/>
              <w:spacing w:lineRule="exact" w:line="311"/>
              <w:ind w:left="200" w:hanging="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lineRule="exact" w:line="311"/>
              <w:ind w:right="198" w:hanging="0"/>
              <w:jc w:val="left"/>
              <w:rPr/>
            </w:pPr>
            <w:r>
              <w:rPr>
                <w:sz w:val="28"/>
              </w:rPr>
              <w:t>Мельникова О.А.</w:t>
            </w:r>
          </w:p>
        </w:tc>
      </w:tr>
      <w:tr>
        <w:trPr>
          <w:trHeight w:val="471" w:hRule="atLeast"/>
        </w:trPr>
        <w:tc>
          <w:tcPr>
            <w:tcW w:w="4213" w:type="dxa"/>
            <w:tcBorders/>
          </w:tcPr>
          <w:p>
            <w:pPr>
              <w:pStyle w:val="TableParagraph"/>
              <w:spacing w:lineRule="exact" w:line="311"/>
              <w:ind w:left="20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lineRule="exact" w:line="311"/>
              <w:ind w:right="198" w:hanging="0"/>
              <w:jc w:val="left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Сергеев А.Д.</w:t>
            </w:r>
          </w:p>
        </w:tc>
      </w:tr>
      <w:tr>
        <w:trPr>
          <w:trHeight w:val="471" w:hRule="atLeast"/>
        </w:trPr>
        <w:tc>
          <w:tcPr>
            <w:tcW w:w="4213" w:type="dxa"/>
            <w:tcBorders/>
          </w:tcPr>
          <w:p>
            <w:pPr>
              <w:pStyle w:val="TableParagraph"/>
              <w:spacing w:lineRule="exact" w:line="311"/>
              <w:ind w:left="200" w:hanging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8304</w:t>
            </w:r>
          </w:p>
        </w:tc>
        <w:tc>
          <w:tcPr>
            <w:tcW w:w="24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lineRule="exact" w:line="311"/>
              <w:ind w:right="198" w:hanging="0"/>
              <w:jc w:val="left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Мухин А.А.</w:t>
            </w:r>
          </w:p>
        </w:tc>
      </w:tr>
      <w:tr>
        <w:trPr>
          <w:trHeight w:val="616" w:hRule="atLeast"/>
        </w:trPr>
        <w:tc>
          <w:tcPr>
            <w:tcW w:w="4213" w:type="dxa"/>
            <w:tcBorders/>
          </w:tcPr>
          <w:p>
            <w:pPr>
              <w:pStyle w:val="TableParagraph"/>
              <w:spacing w:before="132" w:after="0"/>
              <w:ind w:left="20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846" w:type="dxa"/>
            <w:tcBorders/>
          </w:tcPr>
          <w:p>
            <w:pPr>
              <w:pStyle w:val="TableParagraph"/>
              <w:spacing w:before="132" w:after="0"/>
              <w:ind w:right="197" w:hanging="0"/>
              <w:jc w:val="left"/>
              <w:rPr>
                <w:rFonts w:ascii="Times New Roman" w:hAnsi="Times New Roman" w:eastAsia="Times New Roman" w:cs="Times New Roman"/>
                <w:sz w:val="28"/>
                <w:lang w:val="ru-RU"/>
              </w:rPr>
            </w:pPr>
            <w:r>
              <w:rPr>
                <w:rFonts w:eastAsia="Times New Roman" w:cs="Times New Roman"/>
                <w:sz w:val="28"/>
                <w:lang w:val="ru-RU"/>
              </w:rPr>
              <w:t>Овдиенко Н.Н.</w:t>
            </w:r>
          </w:p>
        </w:tc>
      </w:tr>
    </w:tbl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1" w:after="0"/>
        <w:ind w:left="0" w:hanging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lineRule="auto" w:line="362" w:before="89" w:after="0"/>
        <w:ind w:left="3848" w:right="3850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>
        <w:rPr>
          <w:rFonts w:ascii="Times New Roman" w:hAnsi="Times New Roman"/>
          <w:sz w:val="28"/>
        </w:rPr>
        <w:t>1</w:t>
      </w:r>
    </w:p>
    <w:p>
      <w:pPr>
        <w:sectPr>
          <w:type w:val="nextPage"/>
          <w:pgSz w:w="11906" w:h="16838"/>
          <w:pgMar w:left="1500" w:right="64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rPr>
          <w:rFonts w:ascii="Times New Roman" w:hAnsi="Times New Roman"/>
          <w:sz w:val="28"/>
        </w:rPr>
      </w:pPr>
      <w:r>
        <w:rPr/>
        <w:t>Цель</w:t>
      </w:r>
      <w:r>
        <w:rPr>
          <w:spacing w:val="-1"/>
        </w:rPr>
        <w:t xml:space="preserve"> </w:t>
      </w:r>
      <w:r>
        <w:rPr/>
        <w:t>работы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сследование параметров производственного шума на соответствие требованиям санитарных норм и изучение основных принципов по эффективной защите от шума.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/>
          <w:sz w:val="28"/>
        </w:rPr>
      </w:pPr>
      <w:r>
        <w:rPr/>
      </w:r>
    </w:p>
    <w:p>
      <w:pPr>
        <w:pStyle w:val="Heading1"/>
        <w:widowControl w:val="false"/>
        <w:bidi w:val="0"/>
        <w:spacing w:before="160" w:after="0"/>
        <w:ind w:left="18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Основные теоретические положения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Уровнем звука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(дБА) - корректированный уровень звукового давления, измеренный шумомером с помощью характеристики А, в которой снижена чувстивтельность на низких частотах, аналогично снижению чувствительности к звукам этих частот человеческого уха. Этот параметр похволяет ориентировочно оценить, является ли шум на рабочем месте допустимым, не производя спектрального анализа данного шума.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Звукопоглащение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— процесс перехода энергии звука в тепло. Зв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укопоглощающие конструкции принято характеризовать частотной характеристикой так называемого диффузного (реверберационного) коэффициента звукопоглощения. Последний получается усреднением коэфффициентов звукопоглощения (альфа) по разнообразным углам падения.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У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величение толщины материала приводит к более эффективному поглащению более низких частот за счет увеличения соотношения длины пути звука в материале у длине звуковой волны.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Звукоизоляция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— применение твердых материалов для отражения звука.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Собственная звукоизоляция или звукоизолирующая способность способность стены Rсоб определяется соотношением Rсоб = 10 lg (1/τ), дБ, где τ — коэффициент звукопроводности, равный оношению энергии, прошедший через стену, к энергии падающей.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аличие щелей и отверстий звукоизоляцию существенно ухудшает, пропуская волны определенной длины без помех.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Акустический экран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— это преграда ограниченных размеров с определенной звукоизолирующей способностью, устанавливаемая между источником шума и защищаемым от шума местом. Экраны наиболее эффективны для снижения шума высоких и средних частот и плохо снижают низкочастотный шум.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Эффективность любого мероприятия по шумоглушению Lэ определяется Lэ = L1 - L2, дБ, где L1 — уровень звукового давления в рабочей зоне до проведения мероприятий по шумоглушению, L2 — уровень звукового давления в рабочей зоне после проведения мероприятий по шумоглушению.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 лабораторной работе определяется эффективность снижения шума с помощью: звукоизолирую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щего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кожух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звукоизолирующего кожуха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 облицованн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звукопоглощающим материалом,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 также звукоизолирующих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акустических экранов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(изготовленных из ДВП, алюминия, а также стали и алюминия с отверстиями)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Heading1"/>
        <w:spacing w:before="160" w:after="0"/>
        <w:rPr>
          <w:rFonts w:ascii="Times New Roman" w:hAnsi="Times New Roman"/>
          <w:sz w:val="28"/>
        </w:rPr>
      </w:pPr>
      <w:r>
        <w:rPr/>
        <w:t>Ход</w:t>
      </w:r>
      <w:r>
        <w:rPr>
          <w:spacing w:val="-2"/>
        </w:rPr>
        <w:t xml:space="preserve"> </w:t>
      </w:r>
      <w:r>
        <w:rPr/>
        <w:t>работы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сследование зависимости параметров шумовой помехи: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46.1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16.6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13.4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Допустимое 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Уровень шумовой помехи в дБА = 38.9, максимально допустимый = 50.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Параметры шума соответствуют предельно допустимым нормам.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График частот фонового шума: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9300" cy="30594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Ш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ум имеет низкочастотный характер.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сследование зависимости параметров шум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 от частоты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66.4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60.3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102.8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91.2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68.1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Звуковое давление 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с учетом поправки на фон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10.5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74.6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54.7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Превышениед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опустимо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звуково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давлени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60.8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51.2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30.1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Уровень шумовой помехи в дБА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105.6, с учетом поправки на фон = 66.7,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превышение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= 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5.6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араметры шума не соответствуют санитарным нормам, требуется дополнительная защита.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График частот шума источника без защиты: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6180" cy="33528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Ш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ум источника имеет высокочастотный характер.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Исследование средств защиты от шума: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164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Звукоизолирующий кожух №1: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53.9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87.2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50.2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Звуковое давление 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с учетом поправки на фон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7.8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70.6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36.8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Превышениед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опустимо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звуково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давлени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47.2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12.2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Уровень шумовой помехи в дБА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98.9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с учетом поправки на фон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60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превышение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48.9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араметры шума не соответствуют санитарным нормам.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График частот шума источника,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защищенного звукоизолирующим кожухом №1: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5980" cy="313118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Звукоизолирующий кожух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6.2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</w:rPr>
              <w:t>6.2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8.4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8.3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>2.7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75.4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45.1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Звуковое давление 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с учетом поправки на фон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58.8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31.7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Превышениед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опустимо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звуково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давлени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35.4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Уровень шумовой помехи в дБА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9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3.7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с учетом поправки на фон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54.8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превышение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43.7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араметры шума не соответствуют санитарным нормам.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График частот шума источника,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защищенного звукоизолирующим кожухом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0400" cy="29997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Звукоизолирующий экран №1: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59.7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60.3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97.3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85.4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53.9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Звуковое давление 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с учетом поправки на фон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68.8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40.5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Превышениед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опустимо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звуково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давлени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45.4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15.9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Уровень шумовой помехи в дБА =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99.8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с учетом поправки на фон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60.9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превышение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49.8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араметры шума не соответствуют санитарным нормам.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График частот шума источника,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защищенного звукоизолирующим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экраном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2640" cy="30949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Звукоизолирующий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87.5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61.9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Звуковое давление 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с учетом поправки на фон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22.1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70.9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48.5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Превышениед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опустимо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звуково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давлени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47.5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23.9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Уровень шумовой помехи в дБА =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104.4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с учетом поправки на фон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65.5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превышение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54.4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араметры шума не соответствуют санитарным нормам.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График частот шума источника,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защищенного звукоизолирующим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экраном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290" cy="292036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Звукоизолирующий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77.9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60.2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85.3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53.6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Звуковое давление 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с учетом поправки на фон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14.1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73.8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68.7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40.2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Превышениед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опустимо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звуково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давлени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45.3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15.6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Уровень шумовой помехи в дБА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99.6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с учетом поправки на фон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60.7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превышение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49.6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араметры шума не соответствуют санитарным нормам.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График частот шума источника,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защищенного звукоизолирующим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экраном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Звукоизолирующий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62.8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3.8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97.1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86.3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55.6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Звуковое давление 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с учетом поправки на фон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16.7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69.7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42.2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Превышениед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опустимо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звуково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давлени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34.8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46.3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17.6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Уровень шумовой помехи в дБА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100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с учетом поправки на фон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61.1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превышение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50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араметры шума не соответствуют санитарным нормам.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График частот шума источника,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защищенного звукоизолирующим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экраном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6595" cy="302450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Звукоизолирующий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кожух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и звукоизолирующий экран №1:</w:t>
      </w:r>
    </w:p>
    <w:tbl>
      <w:tblPr>
        <w:tblW w:w="10531" w:type="dxa"/>
        <w:jc w:val="left"/>
        <w:tblInd w:w="-736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40"/>
        <w:gridCol w:w="975"/>
        <w:gridCol w:w="975"/>
        <w:gridCol w:w="975"/>
        <w:gridCol w:w="990"/>
        <w:gridCol w:w="975"/>
        <w:gridCol w:w="975"/>
        <w:gridCol w:w="975"/>
        <w:gridCol w:w="975"/>
        <w:gridCol w:w="976"/>
      </w:tblGrid>
      <w:tr>
        <w:trPr/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Частота, Гц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31.5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Звуковое давление,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58.3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54.8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64.5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40.7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Звуковое давление 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с учетом поправки на фон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8.7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36.5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63.1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47.9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27.3</w:t>
            </w:r>
          </w:p>
        </w:tc>
      </w:tr>
      <w:tr>
        <w:trPr/>
        <w:tc>
          <w:tcPr>
            <w:tcW w:w="1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Consolas" w:cs="Consolas"/>
                <w:sz w:val="28"/>
                <w:szCs w:val="28"/>
                <w:lang w:val="ru-RU"/>
              </w:rPr>
            </w:pP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Превышениед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опустимо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звуково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го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 xml:space="preserve"> давлени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eastAsia="Consolas" w:cs="Consolas" w:ascii="Times New Roman" w:hAnsi="Times New Roman"/>
                <w:sz w:val="28"/>
                <w:szCs w:val="28"/>
                <w:lang w:val="ru-RU"/>
              </w:rPr>
              <w:t>, Дб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6.2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22.9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41.3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41.4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24.5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2.7</w:t>
            </w:r>
          </w:p>
        </w:tc>
      </w:tr>
    </w:tbl>
    <w:p>
      <w:pPr>
        <w:pStyle w:val="Normal"/>
        <w:widowControl w:val="false"/>
        <w:bidi w:val="0"/>
        <w:spacing w:before="164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Уровень шумовой помехи в дБА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88.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, с учетом поправки на фон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49.5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превышение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допустим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ого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38.4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араметры шума не соответствуют санитарным нормам.</w:t>
      </w:r>
    </w:p>
    <w:p>
      <w:pPr>
        <w:pStyle w:val="Normal"/>
        <w:widowControl w:val="false"/>
        <w:bidi w:val="0"/>
        <w:spacing w:before="164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График частот шума источника,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защищенного звукоизолирующим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кожухом №2 и звукоизолирующим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экраном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828040</wp:posOffset>
            </wp:positionH>
            <wp:positionV relativeFrom="paragraph">
              <wp:posOffset>32385</wp:posOffset>
            </wp:positionV>
            <wp:extent cx="4545965" cy="305054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before="164" w:after="0"/>
        <w:ind w:left="0" w:right="0" w:firstLine="90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Дополнительное задание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вукопоглащение —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энергия звуковых волн переходит во внутреннюю энергию вещества за счет. Звуковые волны вызывают колебания звука в порах вещества, что сопровождается трением в следствии вязкости воздуха и последующим нагреванием.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164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Эффективность звукопоглащения описывается диффузным коэффициентом альфа, который равен отношению поглащенной энергии к падающей. Он представляет из себя среднее значение нескольких частных случаев, значение каждого из которых зависит от частоты и угла падения звуковой волны.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164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При увеличении толщины материала повышается поглащение звука на более низкищ частотах вследствие увеличения отношения длины пути звука в материале к длине звуковой волны, сама же длина пути роли не играет. В общем в области средних частот звукопоглащающий материал поглащает до 5 дБ.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164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Как правило такие материалы используются для минимизации эффекта отражения звука от стен помещения, но также могут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б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ыть использованы для предотвращения прохождения звука сквозь преграды.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Звукоизоляция —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энергия звуковых волн отражается от твердого материала обратно к источнику вместо того, чтобы пройти сквозь преграду.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164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Звукоизолирующая способность определяется отношением 10 * lg(1/t), где t — коэффициент звукопроводности, равный отношению прошедшей сквозь материал энергии к падающей.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Эффективность звукоизоляции (как и любой другой меры защиты от шума) описывается разностью звуковых давлений в помещении до и после ее установки.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164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Ч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асто используются звукоизолирующие кожухи, закрывающие источник шума. Фактическая звукоизоляция такого кожуха отличается от теоретической в меньшую сторону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 следствии повышения внутри него уровня звукового давления из-за отрадения звука от его внутренней поверхности.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Экранирование —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по сути частный случай звукоизоляции. Разница заключается в том, что экран перекрывает только распространение прямого звука и защищает от шума только пространство непосредственно за ним за счет создания своеобразной звуковой тени.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164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Его эффективность кроме всего прочего зависит от взаимного расположения экрана, источника звука и защищаемой точки, а также формы и размера экрана.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164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Использование экранов эффективно только для защиты от средне- и высокочастотных шумов, так как низкочастотные звуки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огибают экран в следствии дифракции. Также неэффективно использовать экраны в помещениях, где высок уровень звукового давления, создаваемый отраженным звуком. </w:t>
      </w:r>
    </w:p>
    <w:p>
      <w:pPr>
        <w:pStyle w:val="Normal"/>
        <w:widowControl w:val="false"/>
        <w:numPr>
          <w:ilvl w:val="0"/>
          <w:numId w:val="0"/>
        </w:numPr>
        <w:bidi w:val="0"/>
        <w:spacing w:before="164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Целесообразно использовать экраны, например, на открытом пространстве, для защиты жилых домов от шумной автомобильной трассы.</w:t>
      </w:r>
    </w:p>
    <w:p>
      <w:pPr>
        <w:pStyle w:val="Normal"/>
        <w:widowControl w:val="false"/>
        <w:bidi w:val="0"/>
        <w:spacing w:before="164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В теории, звукопоглатитель должен лучше всего поглащать короткочастотные шумы, а также минимизировать создание отраженного шума в помещени источника звука. С увеличением толщины слоя звукопоглатителя, он должен все лучше поглащать также средне- и низкочастотные шумы.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Его защитные свойства будут улучшаться с увеличением коэффициента альфа (e.g. качества материала).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Тем не менее, другие помещения звукопоглатитель защищает не идеально, снижая уровень звукового давления в среднем на 4-5 дБ.</w:t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Звукоизолятор должен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одинаково хорошо отражать звук любой частоты. С увеличением толщины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коэффициента тау материала его звукоизолирующие свойства повышаются. Наличие любых щелей и отверстий должно сильно ухудшать качество защиты от шума.</w:t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Звукоизолирующий экран должен нормально защищать от коротко- и среднечастотных шумов пространство, находящееся непосредственно за ним. Также как и в случае со звукоизолятором, его свойства улучшатся при повышении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толщины и коэффициента тау и понижаются при наличии отверстий и щелей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 должен показывать менюшую эффективность в случае возникновения отраженного звука.</w:t>
      </w:r>
    </w:p>
    <w:p>
      <w:pPr>
        <w:pStyle w:val="Normal"/>
        <w:widowControl w:val="false"/>
        <w:bidi w:val="0"/>
        <w:spacing w:before="164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вукопроводность материала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прямо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зависит от его плотности и жесткости.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Следовательно,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алюминий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проводит звук лучше, чем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ДВП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. При использовании в качестве звукоизолятора алюминия с отверстиями можно ожидать аномальные усиления шума в области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частот определенной длины, связанные с появлением явления дифракции. При использовании же экрана из стали с большим отверстием можно ожидать аномальное усиление шума в области низких частот, так как находясь в звуковой тени микровон будет открыт низковолновому звуку, отраженному от краев помещения больше, чем высокочастотному из-за звукопоглащающих свойств поролона.</w:t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М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ожно сделать вывод, что экран №1 произведен из ДВП, экран №4 из алюминия (хотя из свойства и похожи), экран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— из алюминия с отверстиями, а экран №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— из стали.</w:t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Поролон поглощает энергию высокочастотного звука, исходя из этого делаем вывод, что звукопоглощающий кожух — это кожух №2.</w:t>
      </w:r>
    </w:p>
    <w:p>
      <w:pPr>
        <w:pStyle w:val="Normal"/>
        <w:widowControl w:val="false"/>
        <w:bidi w:val="0"/>
        <w:spacing w:before="164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При подаче одинакового на всех частотах шума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 теории данные экраны должны демонстрировать сдедующий результат:</w:t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612775</wp:posOffset>
            </wp:positionH>
            <wp:positionV relativeFrom="paragraph">
              <wp:posOffset>93980</wp:posOffset>
            </wp:positionV>
            <wp:extent cx="4639310" cy="22383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г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де красный — уровень шума, черный — стальной экран, оранжевый — алюминевый с отверстиями, голубой — алюминевый, зеленый — из ДВП.</w:t>
      </w:r>
    </w:p>
    <w:p>
      <w:pPr>
        <w:pStyle w:val="Normal"/>
        <w:widowControl w:val="false"/>
        <w:bidi w:val="0"/>
        <w:spacing w:before="164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При подаче одинакового на всех частотах шума в теории кожух со звукопоглатителем должен демонстрировать сдедующий результат :</w:t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0405" cy="217678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г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де красный — уровень шума, синий — кожух со звукопоглатителем.</w:t>
      </w:r>
    </w:p>
    <w:p>
      <w:pPr>
        <w:pStyle w:val="Normal"/>
        <w:widowControl w:val="false"/>
        <w:bidi w:val="0"/>
        <w:spacing w:before="164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widowControl w:val="false"/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На основании изученных материалов можно предложить следующие новые средства защиты: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Лучший показатель защиты показал экран из ДВП. Тем не менее, его было недостаточно для обеспечения соответствия санитарным нормам, особенно для высоких частот. Предлагается в качестве средства защиты от шума взять более толстый 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менее плотный лист ДВП (для того, чтобы еще сильнее улучшить изоляцию) и снабдить его слоем поролона со стороны, обращенной к источнику звука. Поролон впитает высокочастотные волны и сделает помещение за перегородкой соответствующим допустимым нормам шума.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Также рекомендуется заделать щели.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Экран из стали с отверстиями показал незначительное превышение нормы в области низких частот, но зато неплохие показатели в области высоких. В качестве средства защиты от шума предлагается взять экран из стали, снабдив комнату с микрофоном толстым слоем поролона для погашения как высоких, так и низких частот. Микрофон при этом желательно отодвинуть как можно дальше от отверстия.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164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есмотря на очевидное снижения уровня шума, ни один из представленных способов защиты не показал больших успехов в защите от шума. В качестве нового средства защиты предлагается скомбинировать звукоотражающие и звукопроводящие свойства нескольких материалов. Для этого необходимо вплотную расположить экраны из разных материалов (поролон, пена, картон, ДВП, алюминий, сталь) в порядке от менее плотного рядом с источником шума к более — рядом с микрофоном. Каждый следующий по ходу движения звуковой волны слой будет отражать все больше и больше звука назад, в менее плотные слои, которые будут этот звук поглащать и не давать отражаться от стен.</w:t>
      </w:r>
    </w:p>
    <w:p>
      <w:pPr>
        <w:sectPr>
          <w:type w:val="nextPage"/>
          <w:pgSz w:w="11906" w:h="16838"/>
          <w:pgMar w:left="1500" w:right="64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before="164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Heading1"/>
        <w:rPr>
          <w:rFonts w:ascii="Times New Roman" w:hAnsi="Times New Roman"/>
          <w:sz w:val="28"/>
        </w:rPr>
      </w:pPr>
      <w:r>
        <w:rPr/>
        <w:t>Выводы</w:t>
      </w:r>
    </w:p>
    <w:p>
      <w:pPr>
        <w:pStyle w:val="Normal"/>
        <w:widowControl w:val="false"/>
        <w:bidi w:val="0"/>
        <w:spacing w:lineRule="auto" w:line="360" w:before="164" w:after="0"/>
        <w:ind w:left="0" w:right="180" w:firstLine="9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В результате выполнения лабораторной работы исследованы параметры производственного шума на соответствие требованиям санитарных норм и изучены основные принципы по эффективной защите от шума. </w:t>
      </w:r>
      <w:r>
        <w:rPr>
          <w:rFonts w:eastAsia="Consolas"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Ни один из рассмотренных в лабораторной работе вариантов звукоизоляции не смог обеспечить эффективную защиту от шума на средних и высоких частотах. Кроме возможных щелей </w:t>
      </w:r>
      <w:r>
        <w:rPr>
          <w:rFonts w:eastAsia="Consolas"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и</w:t>
      </w:r>
      <w:r>
        <w:rPr>
          <w:rFonts w:eastAsia="Consolas"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погрешностей снятия</w:t>
      </w:r>
      <w:r>
        <w:rPr>
          <w:rFonts w:eastAsia="Consolas"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 xml:space="preserve"> такой результат (в случае с экранами) может быть связан с тем, что измерение проводилось в закрытом пространстве, стенки которого отражали звук.</w:t>
      </w:r>
    </w:p>
    <w:p>
      <w:pPr>
        <w:pStyle w:val="Normal"/>
        <w:widowControl w:val="false"/>
        <w:bidi w:val="0"/>
        <w:spacing w:lineRule="auto" w:line="360" w:before="164" w:after="0"/>
        <w:ind w:left="0" w:right="180" w:firstLine="900"/>
        <w:jc w:val="both"/>
        <w:rPr>
          <w:rFonts w:ascii="Times New Roman" w:hAnsi="Times New Roman"/>
          <w:sz w:val="28"/>
        </w:rPr>
      </w:pPr>
      <w:r>
        <w:rPr>
          <w:rFonts w:eastAsia="Consolas" w:cs="Consolas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/>
        </w:rPr>
        <w:t>В целом защитные кожухи показали себя немного лучше экранов, в особенности на низких частотах. В некоторых случаях экраны даже усиливали шум на низких частотах (показывали отрицательную эффективность). Скорее всего это связано с появлением эффекта дифракции на щелях экранов. Лучший результат был показан комбинированным решением из защитного кожуха №2 и защитного экрана №1.</w:t>
      </w:r>
    </w:p>
    <w:sectPr>
      <w:type w:val="nextPage"/>
      <w:pgSz w:w="11906" w:h="16838"/>
      <w:pgMar w:left="1500" w:right="64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4" w:after="0"/>
      <w:ind w:left="202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02" w:hanging="0"/>
    </w:pPr>
    <w:rPr>
      <w:sz w:val="20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921" w:hanging="36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Application>LibreOffice/6.4.7.2$Linux_X86_64 LibreOffice_project/40$Build-2</Application>
  <Pages>14</Pages>
  <Words>2146</Words>
  <Characters>13071</Characters>
  <CharactersWithSpaces>14771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2021-11-24T14:03:00Z</dcterms:created>
  <dc:creator>Иван Григорьев</dc:creator>
  <dc:description/>
  <dc:language>en-US</dc:language>
  <cp:lastModifiedBy/>
  <dcterms:modified xsi:type="dcterms:W3CDTF">2021-11-29T05:22:46Z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2020-12-09T00:00:00Z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2021-11-24T00:00:00Z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