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дисциплине «</w:t>
      </w: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Машинное обучение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sz w:val="28"/>
          <w:szCs w:val="28"/>
        </w:rPr>
        <w:t xml:space="preserve">Тема: </w:t>
      </w:r>
      <w:r>
        <w:rPr>
          <w:rStyle w:val="Style16"/>
          <w:rFonts w:eastAsia="Times New Roman" w:cs="Times New Roman"/>
          <w:b/>
          <w:bCs/>
          <w:caps w:val="false"/>
          <w:smallCaps w:val="false"/>
          <w:color w:val="auto"/>
          <w:spacing w:val="5"/>
          <w:sz w:val="28"/>
          <w:szCs w:val="28"/>
          <w:lang w:val="ru-RU" w:bidi="ar-SA"/>
        </w:rPr>
        <w:t>Предобработка данных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pageBreakBefore w:val="false"/>
        <w:spacing w:lineRule="auto" w:line="360"/>
        <w:ind w:firstLine="709"/>
        <w:jc w:val="both"/>
        <w:rPr/>
      </w:pPr>
      <w:r>
        <w:rPr>
          <w:sz w:val="28"/>
          <w:szCs w:val="28"/>
        </w:rPr>
        <w:t>Ознакомиться с методами предобработки данных из библиотеки Scikit Learn.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color w:val="auto"/>
          <w:sz w:val="28"/>
          <w:szCs w:val="28"/>
          <w:lang w:val="ru-RU" w:bidi="ar-SA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Ход работы</w:t>
      </w:r>
      <w:r>
        <w:rPr>
          <w:b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были загружены в датафрейм, ненужные аттрибуты исключены. Полученные данные: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82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1 - исходные данные в датафрейме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построены гистограммы признаков: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31140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2 — гистограммы исходных данных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гистограмм были определены диапазоны и медианы для каждого из признаков:</w:t>
      </w:r>
    </w:p>
    <w:tbl>
      <w:tblPr>
        <w:tblW w:w="9884" w:type="dxa"/>
        <w:jc w:val="left"/>
        <w:tblInd w:w="-19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5"/>
        <w:gridCol w:w="2400"/>
        <w:gridCol w:w="2415"/>
        <w:gridCol w:w="2414"/>
      </w:tblGrid>
      <w:tr>
        <w:trPr/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Название признака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Миним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ум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Максим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ум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Медиана</w:t>
            </w:r>
          </w:p>
        </w:tc>
      </w:tr>
      <w:tr>
        <w:trPr/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age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40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95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60</w:t>
            </w:r>
          </w:p>
        </w:tc>
      </w:tr>
      <w:tr>
        <w:trPr/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creatinine_phosphokinase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23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7861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250</w:t>
            </w:r>
          </w:p>
        </w:tc>
      </w:tr>
      <w:tr>
        <w:trPr/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ejection_fraction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14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80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38</w:t>
            </w:r>
          </w:p>
        </w:tc>
      </w:tr>
      <w:tr>
        <w:trPr/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platelets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25100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850000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262000</w:t>
            </w:r>
          </w:p>
        </w:tc>
      </w:tr>
      <w:tr>
        <w:trPr/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serum_creatinine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0.5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9.4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1.1</w:t>
            </w:r>
          </w:p>
        </w:tc>
      </w:tr>
      <w:tr>
        <w:trPr>
          <w:trHeight w:val="378" w:hRule="atLeast"/>
        </w:trPr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serum_sodium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113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148</w:t>
            </w:r>
          </w:p>
        </w:tc>
        <w:tc>
          <w:tcPr>
            <w:tcW w:w="24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137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Датафрейм преобразован к двумерному массиву.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настроена стандартизация на основе первых 150 наблюдений, после чего все данные были стандартизованы при помощи </w:t>
      </w:r>
      <w:r>
        <w:rPr>
          <w:i/>
          <w:iCs/>
          <w:sz w:val="28"/>
          <w:szCs w:val="28"/>
        </w:rPr>
        <w:t>StandartScaler</w:t>
      </w:r>
      <w:r>
        <w:rPr>
          <w:sz w:val="28"/>
          <w:szCs w:val="28"/>
        </w:rPr>
        <w:t>. Были построены гистограммы стандартизованных данных: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31140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3 — гистограммы стандартизованных данных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По внешнему виду гистограммы стандартизованных данных похожи на гистограммы исходных данных. Масштаб оси ординат </w:t>
      </w:r>
      <w:r>
        <w:rPr>
          <w:rFonts w:eastAsia="Times New Roman" w:cs="Times New Roman"/>
          <w:color w:val="auto"/>
          <w:sz w:val="28"/>
          <w:szCs w:val="28"/>
          <w:lang w:val="ru-RU" w:bidi="ar-SA"/>
        </w:rPr>
        <w:t>остался прежним</w:t>
      </w:r>
      <w:r>
        <w:rPr>
          <w:sz w:val="28"/>
          <w:szCs w:val="28"/>
        </w:rPr>
        <w:t xml:space="preserve">, а масштаб оси абсцисс сильно изменился. В общем можно сказать, что значения на оси абсцисс </w:t>
      </w:r>
      <w:r>
        <w:rPr>
          <w:rFonts w:eastAsia="Times New Roman" w:cs="Times New Roman"/>
          <w:color w:val="auto"/>
          <w:sz w:val="28"/>
          <w:szCs w:val="28"/>
          <w:lang w:val="ru-RU" w:bidi="ar-SA"/>
        </w:rPr>
        <w:t>на всех графиках принадлежат промежутку [-10 .. 10].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color w:val="auto"/>
          <w:sz w:val="28"/>
          <w:szCs w:val="28"/>
          <w:lang w:val="ru-RU" w:bidi="ar-SA"/>
        </w:rPr>
        <w:t>Для каждого параметра были высчитаны значения математического ожидания и среднеквадратического отклонения до и после стандартизации</w:t>
      </w:r>
      <w:r>
        <w:rPr>
          <w:sz w:val="28"/>
          <w:szCs w:val="28"/>
        </w:rPr>
        <w:t>:</w:t>
      </w:r>
    </w:p>
    <w:tbl>
      <w:tblPr>
        <w:tblW w:w="9884" w:type="dxa"/>
        <w:jc w:val="left"/>
        <w:tblInd w:w="-19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33"/>
        <w:gridCol w:w="1929"/>
        <w:gridCol w:w="1941"/>
        <w:gridCol w:w="1941"/>
        <w:gridCol w:w="1940"/>
      </w:tblGrid>
      <w:tr>
        <w:trPr/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Название признака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М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О до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М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О после</w:t>
            </w:r>
          </w:p>
        </w:tc>
        <w:tc>
          <w:tcPr>
            <w:tcW w:w="1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СКО до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СКО после</w:t>
            </w:r>
          </w:p>
        </w:tc>
      </w:tr>
      <w:tr>
        <w:trPr/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age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60.834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-0.170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11.875</w:t>
            </w:r>
          </w:p>
        </w:tc>
        <w:tc>
          <w:tcPr>
            <w:tcW w:w="19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0.954</w:t>
            </w:r>
          </w:p>
        </w:tc>
      </w:tr>
      <w:tr>
        <w:trPr/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creatinine_phosphokinase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581.839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-</w:t>
            </w:r>
            <w:r>
              <w:rPr/>
              <w:t>0.021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968.664</w:t>
            </w:r>
          </w:p>
        </w:tc>
        <w:tc>
          <w:tcPr>
            <w:tcW w:w="19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0.814</w:t>
            </w:r>
          </w:p>
        </w:tc>
      </w:tr>
      <w:tr>
        <w:trPr/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ejection_fraction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30.084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0.011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11.815</w:t>
            </w:r>
          </w:p>
        </w:tc>
        <w:tc>
          <w:tcPr>
            <w:tcW w:w="19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0.906</w:t>
            </w:r>
          </w:p>
        </w:tc>
      </w:tr>
      <w:tr>
        <w:trPr/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platelets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263358.029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-</w:t>
            </w:r>
            <w:r>
              <w:rPr/>
              <w:t>0.035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97640.548</w:t>
            </w:r>
          </w:p>
        </w:tc>
        <w:tc>
          <w:tcPr>
            <w:tcW w:w="19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1.015</w:t>
            </w:r>
          </w:p>
        </w:tc>
      </w:tr>
      <w:tr>
        <w:trPr/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serum_creatinine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1.394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-0.109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1.033</w:t>
            </w:r>
          </w:p>
        </w:tc>
        <w:tc>
          <w:tcPr>
            <w:tcW w:w="19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0.885</w:t>
            </w:r>
          </w:p>
        </w:tc>
      </w:tr>
      <w:tr>
        <w:trPr>
          <w:trHeight w:val="378" w:hRule="atLeast"/>
        </w:trPr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serum_sodium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136.625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0.038</w:t>
            </w:r>
          </w:p>
        </w:tc>
        <w:tc>
          <w:tcPr>
            <w:tcW w:w="19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4.405</w:t>
            </w:r>
          </w:p>
        </w:tc>
        <w:tc>
          <w:tcPr>
            <w:tcW w:w="19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0.970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  <w:lang w:val="ru-RU" w:bidi="ar-SA"/>
        </w:rPr>
        <w:tab/>
      </w:r>
      <w:r>
        <w:rPr>
          <w:rFonts w:eastAsia="Times New Roman" w:cs="Times New Roman"/>
          <w:color w:val="auto"/>
          <w:sz w:val="28"/>
          <w:szCs w:val="28"/>
          <w:lang w:val="ru-RU" w:bidi="ar-SA"/>
        </w:rPr>
        <w:t xml:space="preserve">Из полученных данных можно сделать вывод о том, что для стандартизации данных была использована формула: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 xml:space="preserve">z </w:t>
      </w:r>
      <w:r>
        <w:rPr>
          <w:rFonts w:eastAsia="URW Bookman" w:cs="URW Bookman" w:ascii="URW Bookman" w:hAnsi="URW Bookman"/>
          <w:i/>
          <w:iCs/>
          <w:color w:val="auto"/>
          <w:sz w:val="28"/>
          <w:szCs w:val="28"/>
          <w:lang w:val="ru-RU" w:bidi="ar-SA"/>
        </w:rPr>
        <w:t>≈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 xml:space="preserve"> (x - u) / s</w:t>
      </w:r>
      <w:r>
        <w:rPr>
          <w:rFonts w:eastAsia="Times New Roman" w:cs="Times New Roman"/>
          <w:color w:val="auto"/>
          <w:sz w:val="28"/>
          <w:szCs w:val="28"/>
          <w:lang w:val="ru-RU" w:bidi="ar-SA"/>
        </w:rPr>
        <w:t xml:space="preserve">, где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x</w:t>
      </w:r>
      <w:r>
        <w:rPr>
          <w:rFonts w:eastAsia="Times New Roman" w:cs="Times New Roman"/>
          <w:color w:val="auto"/>
          <w:sz w:val="28"/>
          <w:szCs w:val="28"/>
          <w:lang w:val="ru-RU" w:bidi="ar-SA"/>
        </w:rPr>
        <w:t xml:space="preserve"> — исходное значение,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u</w:t>
      </w:r>
      <w:r>
        <w:rPr>
          <w:rFonts w:eastAsia="Times New Roman" w:cs="Times New Roman"/>
          <w:color w:val="auto"/>
          <w:sz w:val="28"/>
          <w:szCs w:val="28"/>
          <w:lang w:val="ru-RU" w:bidi="ar-SA"/>
        </w:rPr>
        <w:t xml:space="preserve"> — математическое ожидание параметра,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s</w:t>
      </w:r>
      <w:r>
        <w:rPr>
          <w:rFonts w:eastAsia="Times New Roman" w:cs="Times New Roman"/>
          <w:color w:val="auto"/>
          <w:sz w:val="28"/>
          <w:szCs w:val="28"/>
          <w:lang w:val="ru-RU" w:bidi="ar-SA"/>
        </w:rPr>
        <w:t xml:space="preserve"> — среднеквадратическое отклонение параметра.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  <w:lang w:val="ru-RU" w:bidi="ar-SA"/>
        </w:rPr>
        <w:t xml:space="preserve">Значения полей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mean_</w:t>
      </w:r>
      <w:r>
        <w:rPr>
          <w:rFonts w:eastAsia="Times New Roman" w:cs="Times New Roman"/>
          <w:color w:val="auto"/>
          <w:sz w:val="28"/>
          <w:szCs w:val="28"/>
          <w:lang w:val="ru-RU" w:bidi="ar-SA"/>
        </w:rPr>
        <w:t xml:space="preserve"> и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var_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объекта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scaler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подтверждают прдположение: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lang w:val="ru-RU" w:bidi="ar-SA"/>
        </w:rPr>
      </w:pPr>
      <w:r>
        <w:rPr>
          <w:sz w:val="28"/>
          <w:szCs w:val="28"/>
        </w:rPr>
      </w:r>
    </w:p>
    <w:tbl>
      <w:tblPr>
        <w:tblW w:w="9884" w:type="dxa"/>
        <w:jc w:val="left"/>
        <w:tblInd w:w="-19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2"/>
        <w:gridCol w:w="3176"/>
        <w:gridCol w:w="3196"/>
      </w:tblGrid>
      <w:tr>
        <w:trPr/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Название признака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scaler.mean_</w:t>
            </w:r>
          </w:p>
        </w:tc>
        <w:tc>
          <w:tcPr>
            <w:tcW w:w="3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scaler.var_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age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62.94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7</w:t>
            </w:r>
          </w:p>
        </w:tc>
        <w:tc>
          <w:tcPr>
            <w:tcW w:w="31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154.997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creatinine_phosphokinase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607.153</w:t>
            </w:r>
          </w:p>
        </w:tc>
        <w:tc>
          <w:tcPr>
            <w:tcW w:w="31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1415488.823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ejection_fraction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37.947</w:t>
            </w:r>
          </w:p>
        </w:tc>
        <w:tc>
          <w:tcPr>
            <w:tcW w:w="31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170.02</w:t>
            </w:r>
            <w:r>
              <w:rPr/>
              <w:t>4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platelets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266746.749</w:t>
            </w:r>
          </w:p>
        </w:tc>
        <w:tc>
          <w:tcPr>
            <w:tcW w:w="31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9252860499.07</w:t>
            </w:r>
            <w:r>
              <w:rPr/>
              <w:t>9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serum_creatinine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1.521</w:t>
            </w:r>
          </w:p>
        </w:tc>
        <w:tc>
          <w:tcPr>
            <w:tcW w:w="31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1.361</w:t>
            </w:r>
          </w:p>
        </w:tc>
      </w:tr>
      <w:tr>
        <w:trPr>
          <w:trHeight w:val="378" w:hRule="atLeast"/>
        </w:trPr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serum_sodium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136.453</w:t>
            </w:r>
          </w:p>
        </w:tc>
        <w:tc>
          <w:tcPr>
            <w:tcW w:w="31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26.608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sz w:val="28"/>
          <w:szCs w:val="28"/>
        </w:rPr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ab/>
        <w:t>Б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ыла проведена настройка стандартизации на всех данных. Результаты стали точнее, так как значения математического ожидания приблизились к 0, а среднеквадратичееского отклонения — к 1.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lang w:val="ru-RU" w:bidi="ar-SA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sz w:val="28"/>
          <w:szCs w:val="28"/>
        </w:rPr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При помощи MinMaxScaler данные были приведены к диапазону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[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0, 1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]:</w:t>
      </w:r>
    </w:p>
    <w:p>
      <w:pPr>
        <w:pStyle w:val="Normal"/>
        <w:tabs>
          <w:tab w:val="clear" w:pos="720"/>
          <w:tab w:val="left" w:pos="7215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31140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Р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исунок 4 — гистограмма приведенных к диапазону данных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По внешнему виду гистограммы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приведенных к диапазону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данных похожи на гистограммы исходных данных. Масштаб оси ординат остался прежним, а масштаб оси абсцисс изменился,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теперь все данные принадлежат отрезку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[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0, 1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]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.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Т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аблица, в которой указаны минимальные и максимальные значения для каждого признака, была приведена выше. Значения не изменились.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Данные были трансормированы с помощью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MaxAbsScaler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и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RobustScaler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. Были построены гистограммы: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311404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Р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исунок 5 — гистограмма данных, обработанных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MaxAbsScaler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31140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Р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исунок 6 - гистограмма данных, обработанных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RobustScaler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Основываясь на документации 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MaxAbsScaler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и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RobustScaler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, можно сказать, что первый также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прив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одит данные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к диапазону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[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0, 1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]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,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а второй — к интерквартильному диапазону (между 25 и 75 квантилью).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Для того, чтобы привести данные к диапазону [-5, 10] достаточно передать в конструктор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MinMaxScaler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параметр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feature_range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,  равный кортежу (-5, 10).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ru-RU" w:bidi="ar-SA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Данные были обработаны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QuantileTransformer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для получения равномерного распределения: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311404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Р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исунок 7 — гистограмма равномерно распределенных данных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По внешнему виду гистограммы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равномерно распределенных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данных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не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похожи на гистограммы исходных данных.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П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араметр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n_quantiles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представляет из себя количество фрагментов, на которое будет разбита квантильная функция при вычислении. Согласно документации, максимально точное значение дает количество квантилей, равное количеству измерений.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П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ри передаче в конструктор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QuantileTransformer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параметра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output_distribution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, равного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"normal"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, данные будут распределены нормально: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311404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Р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исунок 8 — нормально распределенные данные при помощи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QuantileTransformer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Такжеданные могут быть обработаны и распределены нормально при использовании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PowerTransformer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.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311404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Р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исунок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9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— нормально распределенные данные при помощи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PowerT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ransformer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ru-RU" w:bidi="ar-SA"/>
        </w:rPr>
      </w:pPr>
      <w:r>
        <w:rPr>
          <w:i w:val="false"/>
          <w:iCs w:val="false"/>
        </w:rPr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Была проведене дискретизация данных с использованием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KBinsDiscretizer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.</w:t>
      </w:r>
    </w:p>
    <w:p>
      <w:pPr>
        <w:pStyle w:val="Normal"/>
        <w:widowControl/>
        <w:bidi w:val="0"/>
        <w:spacing w:lineRule="auto" w:line="36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311404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Р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исунок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10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— 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>дискретизированные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данные при помощи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KBinsDiscretizer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Количество столбцов в гистограмме определенного признака равно значению параметра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n_bins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для него. Внешний вид гистограммы похож на внешний вид гистограммы исходных данных с уменьшенным количеством столбцов.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/>
      </w:pP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Через параметр </w:t>
      </w:r>
      <w:r>
        <w:rPr>
          <w:rFonts w:eastAsia="Times New Roman" w:cs="Times New Roman"/>
          <w:i/>
          <w:iCs/>
          <w:color w:val="auto"/>
          <w:sz w:val="28"/>
          <w:szCs w:val="28"/>
          <w:lang w:val="ru-RU" w:bidi="ar-SA"/>
        </w:rPr>
        <w:t>bin_edges_</w:t>
      </w:r>
      <w:r>
        <w:rPr>
          <w:rFonts w:eastAsia="Times New Roman" w:cs="Times New Roman"/>
          <w:i w:val="false"/>
          <w:iCs w:val="false"/>
          <w:color w:val="auto"/>
          <w:sz w:val="28"/>
          <w:szCs w:val="28"/>
          <w:lang w:val="ru-RU" w:bidi="ar-SA"/>
        </w:rPr>
        <w:t xml:space="preserve"> были получены границы диапазонов для каждого признака:</w:t>
      </w:r>
    </w:p>
    <w:p>
      <w:pPr>
        <w:pStyle w:val="Normal"/>
        <w:widowControl/>
        <w:bidi w:val="0"/>
        <w:spacing w:lineRule="auto" w:line="36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sz w:val="28"/>
          <w:szCs w:val="28"/>
          <w:lang w:val="ru-RU" w:bidi="ar-SA"/>
        </w:rPr>
      </w:pPr>
      <w:r>
        <w:rPr/>
      </w:r>
    </w:p>
    <w:tbl>
      <w:tblPr>
        <w:tblW w:w="9884" w:type="dxa"/>
        <w:jc w:val="left"/>
        <w:tblInd w:w="-19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90"/>
        <w:gridCol w:w="4694"/>
      </w:tblGrid>
      <w:tr>
        <w:trPr/>
        <w:tc>
          <w:tcPr>
            <w:tcW w:w="5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Название признака</w:t>
            </w:r>
          </w:p>
        </w:tc>
        <w:tc>
          <w:tcPr>
            <w:tcW w:w="4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scaler.bin_edges_</w:t>
            </w:r>
          </w:p>
        </w:tc>
      </w:tr>
      <w:tr>
        <w:trPr/>
        <w:tc>
          <w:tcPr>
            <w:tcW w:w="5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age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ru-RU" w:bidi="ar-SA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val="ru-RU" w:bidi="ar-SA"/>
              </w:rPr>
              <w:t>[40. 55. 65. 95.]</w:t>
            </w:r>
          </w:p>
        </w:tc>
      </w:tr>
      <w:tr>
        <w:trPr/>
        <w:tc>
          <w:tcPr>
            <w:tcW w:w="5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creatinine_phosphokinase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[  23.   116.5  250.   582.  7861. ]</w:t>
            </w:r>
          </w:p>
        </w:tc>
      </w:tr>
      <w:tr>
        <w:trPr/>
        <w:tc>
          <w:tcPr>
            <w:tcW w:w="5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ejection_fraction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[14. 35. 40. 80.]</w:t>
            </w:r>
          </w:p>
        </w:tc>
      </w:tr>
      <w:tr>
        <w:trPr/>
        <w:tc>
          <w:tcPr>
            <w:tcW w:w="5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platelets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[ 25100. 153000. 196000. 221000. 237000. 262000. 265000. 285200. 319800.</w:t>
            </w:r>
          </w:p>
          <w:p>
            <w:pPr>
              <w:pStyle w:val="TableContents"/>
              <w:jc w:val="both"/>
              <w:rPr/>
            </w:pPr>
            <w:r>
              <w:rPr/>
              <w:t xml:space="preserve"> </w:t>
            </w:r>
            <w:r>
              <w:rPr/>
              <w:t>374600. 850000.]</w:t>
            </w:r>
          </w:p>
        </w:tc>
      </w:tr>
      <w:tr>
        <w:trPr/>
        <w:tc>
          <w:tcPr>
            <w:tcW w:w="5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serum_creatinine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[0.5 1.1 9.4]</w:t>
            </w:r>
          </w:p>
        </w:tc>
      </w:tr>
      <w:tr>
        <w:trPr>
          <w:trHeight w:val="378" w:hRule="atLeast"/>
        </w:trPr>
        <w:tc>
          <w:tcPr>
            <w:tcW w:w="51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serum_sodium</w:t>
            </w:r>
          </w:p>
        </w:tc>
        <w:tc>
          <w:tcPr>
            <w:tcW w:w="46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both"/>
              <w:rPr/>
            </w:pPr>
            <w:r>
              <w:rPr/>
              <w:t>[113. 134. 137. 140. 148.]</w:t>
            </w:r>
          </w:p>
        </w:tc>
      </w:tr>
    </w:tbl>
    <w:p>
      <w:pPr>
        <w:pStyle w:val="Normal"/>
        <w:spacing w:lineRule="auto" w:line="360"/>
        <w:ind w:firstLine="709"/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Выводы.</w:t>
      </w:r>
    </w:p>
    <w:p>
      <w:pPr>
        <w:pStyle w:val="Normal"/>
        <w:pageBreakBefore w:val="false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было успешно произведено о</w:t>
      </w:r>
      <w:r>
        <w:rPr>
          <w:sz w:val="28"/>
          <w:szCs w:val="28"/>
        </w:rPr>
        <w:t>знаком</w:t>
      </w:r>
      <w:r>
        <w:rPr>
          <w:sz w:val="28"/>
          <w:szCs w:val="28"/>
        </w:rPr>
        <w:t>ление</w:t>
      </w:r>
      <w:r>
        <w:rPr>
          <w:sz w:val="28"/>
          <w:szCs w:val="28"/>
        </w:rPr>
        <w:t xml:space="preserve"> с методами предобработки данных из библиотеки Scikit Learn.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Times1421"/>
        <w:spacing w:lineRule="auto" w:line="360"/>
        <w:ind w:hanging="0"/>
        <w:rPr>
          <w:rStyle w:val="Style16"/>
          <w:bCs w:val="false"/>
          <w:caps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Style w:val="Style16"/>
          <w:bCs w:val="false"/>
          <w:caps/>
          <w:sz w:val="28"/>
        </w:rPr>
      </w:pPr>
      <w:r>
        <w:rPr/>
      </w:r>
    </w:p>
    <w:sectPr>
      <w:headerReference w:type="default" r:id="rId12"/>
      <w:headerReference w:type="first" r:id="rId13"/>
      <w:footerReference w:type="default" r:id="rId14"/>
      <w:footerReference w:type="first" r:id="rId1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alibri">
    <w:charset w:val="cc"/>
    <w:family w:val="swiss"/>
    <w:pitch w:val="variable"/>
  </w:font>
  <w:font w:name="Arial Unicode MS">
    <w:charset w:val="00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Arial">
    <w:charset w:val="cc"/>
    <w:family w:val="swiss"/>
    <w:pitch w:val="variable"/>
  </w:font>
  <w:font w:name="Helvetica">
    <w:altName w:val="Arial"/>
    <w:charset w:val="cc"/>
    <w:family w:val="swiss"/>
    <w:pitch w:val="variable"/>
  </w:font>
  <w:font w:name="Liberation Mono">
    <w:altName w:val="Courier New"/>
    <w:charset w:val="01"/>
    <w:family w:val="modern"/>
    <w:pitch w:val="fixed"/>
  </w:font>
  <w:font w:name="URW Book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720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b w:val="false"/>
      <w:sz w:val="28"/>
      <w:szCs w:val="28"/>
      <w:lang w:val="en-U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qFormat/>
    <w:rPr>
      <w:rFonts w:cs="Times New Roman"/>
    </w:rPr>
  </w:style>
  <w:style w:type="character" w:styleId="InternetLink">
    <w:name w:val="Hyperlink"/>
    <w:rPr>
      <w:rFonts w:cs="Times New Roman"/>
      <w:color w:val="0000FF"/>
      <w:u w:val="single"/>
    </w:rPr>
  </w:style>
  <w:style w:type="character" w:styleId="221">
    <w:name w:val="Заголовок №2 (2)_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>
    <w:name w:val="short_text"/>
    <w:qFormat/>
    <w:rPr>
      <w:rFonts w:cs="Times New Roman"/>
    </w:rPr>
  </w:style>
  <w:style w:type="character" w:styleId="Hps">
    <w:name w:val="hps"/>
    <w:qFormat/>
    <w:rPr>
      <w:rFonts w:cs="Times New Roman"/>
    </w:rPr>
  </w:style>
  <w:style w:type="character" w:styleId="4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qFormat/>
    <w:rPr>
      <w:rFonts w:ascii="Courier New" w:hAnsi="Courier New" w:cs="Courier New"/>
    </w:rPr>
  </w:style>
  <w:style w:type="character" w:styleId="Applestylespan">
    <w:name w:val="apple-style-span"/>
    <w:qFormat/>
    <w:rPr>
      <w:rFonts w:cs="Times New Roman"/>
    </w:rPr>
  </w:style>
  <w:style w:type="character" w:styleId="Translation">
    <w:name w:val="translation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7">
    <w:name w:val="Знак примечания"/>
    <w:qFormat/>
    <w:rPr>
      <w:sz w:val="16"/>
      <w:szCs w:val="16"/>
    </w:rPr>
  </w:style>
  <w:style w:type="character" w:styleId="Style18">
    <w:name w:val="Текст примечания Знак"/>
    <w:qFormat/>
    <w:rPr>
      <w:rFonts w:ascii="Times New Roman" w:hAnsi="Times New Roman" w:eastAsia="Times New Roman" w:cs="Times New Roman"/>
    </w:rPr>
  </w:style>
  <w:style w:type="character" w:styleId="Style19">
    <w:name w:val="Тема примечания Знак"/>
    <w:qFormat/>
    <w:rPr>
      <w:rFonts w:ascii="Times New Roman" w:hAnsi="Times New Roman" w:eastAsia="Times New Roman" w:cs="Times New Roman"/>
      <w:b/>
      <w:bCs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0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1">
    <w:name w:val="Для таблиц"/>
    <w:basedOn w:val="Normal"/>
    <w:qFormat/>
    <w:pPr/>
    <w:rPr/>
  </w:style>
  <w:style w:type="paragraph" w:styleId="Style22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3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4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5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autoSpaceDE w:val="false"/>
      <w:bidi w:val="0"/>
      <w:ind w:firstLine="72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bidi w:val="0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val="ru-RU" w:bidi="ar-SA" w:eastAsia="zh-CN"/>
    </w:rPr>
  </w:style>
  <w:style w:type="paragraph" w:styleId="222">
    <w:name w:val="Заголовок №2 (2)"/>
    <w:basedOn w:val="Normal"/>
    <w:qFormat/>
    <w:pPr>
      <w:widowControl w:val="false"/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bidi w:val="0"/>
      <w:spacing w:lineRule="auto" w:line="276" w:before="0" w:after="200"/>
    </w:pPr>
    <w:rPr>
      <w:rFonts w:ascii="Times New Roman" w:hAnsi="Times New Roman" w:eastAsia="Calibri" w:cs="Times New Roman"/>
      <w:color w:val="000000"/>
      <w:sz w:val="16"/>
      <w:szCs w:val="20"/>
      <w:lang w:val="ru-RU" w:bidi="ar-SA" w:eastAsia="zh-CN"/>
    </w:rPr>
  </w:style>
  <w:style w:type="paragraph" w:styleId="Style26">
    <w:name w:val="Стиль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bidi="ar-SA" w:eastAsia="zh-CN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pBdr/>
      <w:bidi w:val="0"/>
    </w:pPr>
    <w:rPr>
      <w:rFonts w:ascii="Helvetica" w:hAnsi="Helvetica" w:eastAsia="Times New Roman" w:cs="Helvetica"/>
      <w:color w:val="000000"/>
      <w:sz w:val="20"/>
      <w:szCs w:val="20"/>
      <w:lang w:val="ru-RU" w:bidi="ar-SA" w:eastAsia="zh-CN"/>
    </w:rPr>
  </w:style>
  <w:style w:type="paragraph" w:styleId="Style161">
    <w:name w:val="Style16"/>
    <w:qFormat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val="ru-RU" w:bidi="ar-SA" w:eastAsia="zh-CN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7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autoSpaceDE w:val="false"/>
    </w:pPr>
    <w:rPr>
      <w:rFonts w:eastAsia="Calibri"/>
    </w:rPr>
  </w:style>
  <w:style w:type="paragraph" w:styleId="Style28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9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1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2">
    <w:name w:val="Текст примечания"/>
    <w:basedOn w:val="Normal"/>
    <w:qFormat/>
    <w:pPr/>
    <w:rPr>
      <w:sz w:val="20"/>
      <w:szCs w:val="20"/>
    </w:rPr>
  </w:style>
  <w:style w:type="paragraph" w:styleId="Style33">
    <w:name w:val="Тема примечания"/>
    <w:basedOn w:val="Style32"/>
    <w:next w:val="Style32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10</Pages>
  <Words>666</Words>
  <Characters>4672</Characters>
  <CharactersWithSpaces>5216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2021-09-14T06:28:00Z</dcterms:created>
  <dc:creator>SAP</dc:creator>
  <dc:description/>
  <cp:keywords/>
  <dc:language>en-US</dc:language>
  <cp:lastModifiedBy/>
  <cp:lastPrinted>2015-07-17T12:06:00Z</cp:lastPrinted>
  <dcterms:modified xsi:type="dcterms:W3CDTF">2021-09-19T01:27:24Z</dcterms:modified>
  <cp:revision>3</cp:revision>
  <dc:subject/>
  <dc:title>ПРОЕКТ ЛЭТИ</dc:title>
</cp:coreProperties>
</file>