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Princedeep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June 27, 2021</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https://github.com/psgil/MusicContestMVC</w:t>
              </w:r>
            </w:hyperlink>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princedeep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sgil/MusicContestMV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