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b/>
          <w:sz w:val="24"/>
        </w:rPr>
        <w:t>10. Plano de Benefícios CD-METRÔ-DF</w:t>
      </w:r>
    </w:p>
    <w:p>
      <w:pPr>
        <w:spacing w:before="120" w:after="60"/>
      </w:pPr>
      <w:r>
        <w:rPr>
          <w:b/>
          <w:sz w:val="22"/>
        </w:rPr>
        <w:t>10.1 Rentabilidade 2025 (fonte: previdência em números dezembro/2025)</w:t>
      </w:r>
    </w:p>
    <w:p>
      <w:pPr>
        <w:spacing w:after="60"/>
      </w:pPr>
      <w:r>
        <w:t>O Plano CD-METRÔ/DF encerrou 2025 com rentabilidade de 11,74%, equivalente a 139% do seu índice de referência (IPCA + 4,00% a.a.</w:t>
      </w:r>
    </w:p>
    <w:p>
      <w:pPr>
        <w:pStyle w:val="ListBullet"/>
        <w:spacing w:after="40"/>
      </w:pPr>
      <w:r>
        <w:t>O resultado alcançado foi impulsionado por uma estrutura mais diversificada, combinando renda fixa, renda variável, multimercados, operações com participantes e investimentos no exterior.</w:t>
      </w:r>
    </w:p>
    <w:p>
      <w:pPr>
        <w:pStyle w:val="ListBullet"/>
        <w:spacing w:after="40"/>
      </w:pPr>
      <w:r>
        <w:t>A Renda Fixa manteve papel central, com retorno de 11,53%, sustentada por LFT e NTN-B. Destaque-se ainda que 93% da carteira do Plano CD-Metrô/DF é composto por NTN-B, com taxa média de aquisição de 6,99% a.a., com predominância de marcação na curva.</w:t>
      </w:r>
    </w:p>
    <w:p>
      <w:pPr>
        <w:pStyle w:val="ListBullet"/>
        <w:spacing w:after="40"/>
      </w:pPr>
      <w:r>
        <w:t>A Renda Variável, via fundo Guepardo, apresentou desempenho expressivo de 25,81%, contribuindo de forma relevante ao resultado consolidado.</w:t>
      </w:r>
    </w:p>
    <w:p>
      <w:pPr>
        <w:pStyle w:val="ListBullet"/>
        <w:spacing w:after="40"/>
      </w:pPr>
      <w:r>
        <w:t>O segmento estruturado/multimercados também teve contribuição positiva de 13,52%, enquanto os investimentos no exterior destacaram-se com retorno de 18,94%, reforçando a diversificação geográfica.</w:t>
      </w:r>
    </w:p>
    <w:p>
      <w:pPr>
        <w:pStyle w:val="ListBullet"/>
        <w:spacing w:after="40"/>
      </w:pPr>
      <w:r>
        <w:t>As operações com participantes mantiveram desempenho consistente de 14,46%, também superando o índice de referência do Plano.</w:t>
      </w:r>
    </w:p>
    <w:p>
      <w:pPr>
        <w:pStyle w:val="ListBullet"/>
        <w:spacing w:after="40"/>
      </w:pPr>
      <w:r>
        <w:t>No conjunto, o plano apresentou equilíbrio entre retorno e diversificação, compatível com seu perfil e horizonte de longo prazo.</w:t>
      </w:r>
    </w:p>
    <w:p>
      <w:pPr>
        <w:spacing w:before="180" w:after="60"/>
      </w:pPr>
      <w:r>
        <w:rPr>
          <w:b/>
          <w:sz w:val="22"/>
        </w:rPr>
        <w:t>10.2 Desempenho do Plano</w:t>
      </w:r>
    </w:p>
    <w:p>
      <w:pPr>
        <w:spacing w:after="60"/>
      </w:pPr>
      <w:r>
        <w:t>O Plano registrou uma rentabilidade acumulada de 11,74% em 2025, equivalente a 139% do seu índice de referência (IPCA+4,00% a.a.). Esse resultado representa um ganho real (acima da inflação) de 7,17%, incrementando os ganhos para a constituição da reserva de aposentadoria dos seus participantes.</w:t>
        <w:br/>
        <w:br/>
        <w:t>O CD-Metrô/DF possui 93% do seu patrimônio total alocado em NTN-B, com taxa média ponderada de 6,99% a.a. + IPCA.</w:t>
      </w:r>
    </w:p>
    <w:p>
      <w:pPr>
        <w:spacing w:after="40"/>
      </w:pPr>
      <w:r>
        <w:t>RECURSO DO PLANO: R$ 151.337.404</w:t>
      </w:r>
    </w:p>
    <w:p>
      <w:pPr>
        <w:spacing w:after="40"/>
      </w:pPr>
      <w:r>
        <w:t>REFERENCIAL: 8,44%</w:t>
      </w:r>
    </w:p>
    <w:p>
      <w:pPr>
        <w:spacing w:after="40"/>
      </w:pPr>
      <w:r>
        <w:t>RENTABILIDADE: 11,74%</w:t>
      </w:r>
    </w:p>
    <w:p>
      <w:pPr>
        <w:spacing w:after="40"/>
      </w:pPr>
      <w:r>
        <w:t>GANHO REAL (ACIMA DA INFLAÇÃO): 7,17% a.a.</w:t>
      </w:r>
    </w:p>
    <w:p>
      <w:pPr>
        <w:spacing w:after="120"/>
      </w:pPr>
      <w:r>
        <w:t>[GRÁFICO DE BARRAS HORIZONTAIS]</w:t>
      </w:r>
    </w:p>
    <w:p>
      <w:pPr>
        <w:spacing w:before="180" w:after="120"/>
      </w:pPr>
      <w:r>
        <w:rPr>
          <w:b/>
          <w:sz w:val="22"/>
        </w:rPr>
        <w:t>Resultados da Política de Investimentos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SEGMENTO</w:t>
            </w:r>
          </w:p>
        </w:tc>
        <w:tc>
          <w:tcPr>
            <w:tcW w:type="dxa" w:w="2160"/>
          </w:tcPr>
          <w:p>
            <w:r>
              <w:t>POLÍTICA INVESTIMENTO 2026</w:t>
            </w:r>
          </w:p>
        </w:tc>
        <w:tc>
          <w:tcPr>
            <w:tcW w:type="dxa" w:w="2160"/>
          </w:tcPr>
          <w:p>
            <w:r>
              <w:t>RESOLUÇÃO 4.994 2025</w:t>
            </w:r>
          </w:p>
        </w:tc>
        <w:tc>
          <w:tcPr>
            <w:tcW w:type="dxa" w:w="2160"/>
          </w:tcPr>
          <w:p>
            <w:r>
              <w:t>ALOCAÇÃO OBJETIVO 2026</w:t>
            </w:r>
          </w:p>
        </w:tc>
      </w:tr>
      <w:tr>
        <w:tc>
          <w:tcPr>
            <w:tcW w:type="dxa" w:w="2160"/>
          </w:tcPr>
          <w:p>
            <w:r>
              <w:t>RENDA FIXA</w:t>
            </w:r>
          </w:p>
        </w:tc>
        <w:tc>
          <w:tcPr>
            <w:tcW w:type="dxa" w:w="2160"/>
          </w:tcPr>
          <w:p>
            <w:r>
              <w:t>100,00</w:t>
            </w:r>
          </w:p>
        </w:tc>
        <w:tc>
          <w:tcPr>
            <w:tcW w:type="dxa" w:w="2160"/>
          </w:tcPr>
          <w:p>
            <w:r>
              <w:t>100,00</w:t>
            </w:r>
          </w:p>
        </w:tc>
        <w:tc>
          <w:tcPr>
            <w:tcW w:type="dxa" w:w="2160"/>
          </w:tcPr>
          <w:p>
            <w:r>
              <w:t>96,00</w:t>
            </w:r>
          </w:p>
        </w:tc>
      </w:tr>
      <w:tr>
        <w:tc>
          <w:tcPr>
            <w:tcW w:type="dxa" w:w="2160"/>
          </w:tcPr>
          <w:p>
            <w:r>
              <w:t>RENDA VARIÁVEL</w:t>
            </w:r>
          </w:p>
        </w:tc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</w:tr>
      <w:tr>
        <w:tc>
          <w:tcPr>
            <w:tcW w:type="dxa" w:w="2160"/>
          </w:tcPr>
          <w:p>
            <w:r>
              <w:t>ESTRUTURADO</w:t>
            </w:r>
          </w:p>
        </w:tc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IMOBILIÁRIO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OPERAÇÕES COM PARTICIPANTES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2,00</w:t>
            </w:r>
          </w:p>
        </w:tc>
      </w:tr>
      <w:tr>
        <w:tc>
          <w:tcPr>
            <w:tcW w:type="dxa" w:w="2160"/>
          </w:tcPr>
          <w:p>
            <w:r>
              <w:t>EXTERIOR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</w:tr>
    </w:tbl>
    <w:p>
      <w:pPr>
        <w:spacing w:before="180" w:after="120"/>
      </w:pPr>
      <w:r>
        <w:rPr>
          <w:b/>
          <w:sz w:val="22"/>
        </w:rPr>
        <w:t>Resultados dos Investimentos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SEGMENTO</w:t>
            </w:r>
          </w:p>
        </w:tc>
        <w:tc>
          <w:tcPr>
            <w:tcW w:type="dxa" w:w="2160"/>
          </w:tcPr>
          <w:p>
            <w:r>
              <w:t>1SEM</w:t>
            </w:r>
          </w:p>
        </w:tc>
        <w:tc>
          <w:tcPr>
            <w:tcW w:type="dxa" w:w="2160"/>
          </w:tcPr>
          <w:p>
            <w:r>
              <w:t>2SEM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RENDA FIXA</w:t>
            </w:r>
          </w:p>
        </w:tc>
        <w:tc>
          <w:tcPr>
            <w:tcW w:type="dxa" w:w="2160"/>
          </w:tcPr>
          <w:p>
            <w:r>
              <w:t>6,33</w:t>
            </w:r>
          </w:p>
        </w:tc>
        <w:tc>
          <w:tcPr>
            <w:tcW w:type="dxa" w:w="2160"/>
          </w:tcPr>
          <w:p>
            <w:r>
              <w:t>4,89</w:t>
            </w:r>
          </w:p>
        </w:tc>
        <w:tc>
          <w:tcPr>
            <w:tcW w:type="dxa" w:w="2160"/>
          </w:tcPr>
          <w:p>
            <w:r>
              <w:t>11,53</w:t>
            </w:r>
          </w:p>
        </w:tc>
      </w:tr>
      <w:tr>
        <w:tc>
          <w:tcPr>
            <w:tcW w:type="dxa" w:w="2160"/>
          </w:tcPr>
          <w:p>
            <w:r>
              <w:t>RENDA VARIÁVEL</w:t>
            </w:r>
          </w:p>
        </w:tc>
        <w:tc>
          <w:tcPr>
            <w:tcW w:type="dxa" w:w="2160"/>
          </w:tcPr>
          <w:p>
            <w:r>
              <w:t>11,71</w:t>
            </w:r>
          </w:p>
        </w:tc>
        <w:tc>
          <w:tcPr>
            <w:tcW w:type="dxa" w:w="2160"/>
          </w:tcPr>
          <w:p>
            <w:r>
              <w:t>12,62</w:t>
            </w:r>
          </w:p>
        </w:tc>
        <w:tc>
          <w:tcPr>
            <w:tcW w:type="dxa" w:w="2160"/>
          </w:tcPr>
          <w:p>
            <w:r>
              <w:t>25,81</w:t>
            </w:r>
          </w:p>
        </w:tc>
      </w:tr>
      <w:tr>
        <w:tc>
          <w:tcPr>
            <w:tcW w:type="dxa" w:w="2160"/>
          </w:tcPr>
          <w:p>
            <w:r>
              <w:t>ESTRUTURADO</w:t>
            </w:r>
          </w:p>
        </w:tc>
        <w:tc>
          <w:tcPr>
            <w:tcW w:type="dxa" w:w="2160"/>
          </w:tcPr>
          <w:p>
            <w:r>
              <w:t>13,02</w:t>
            </w:r>
          </w:p>
        </w:tc>
        <w:tc>
          <w:tcPr>
            <w:tcW w:type="dxa" w:w="2160"/>
          </w:tcPr>
          <w:p>
            <w:r>
              <w:t>0,44</w:t>
            </w:r>
          </w:p>
        </w:tc>
        <w:tc>
          <w:tcPr>
            <w:tcW w:type="dxa" w:w="2160"/>
          </w:tcPr>
          <w:p>
            <w:r>
              <w:t>13,52</w:t>
            </w:r>
          </w:p>
        </w:tc>
      </w:tr>
      <w:tr>
        <w:tc>
          <w:tcPr>
            <w:tcW w:type="dxa" w:w="2160"/>
          </w:tcPr>
          <w:p>
            <w:r>
              <w:t>IMOBILIÁRIO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OPERAÇÕES COM PARTICIPANTES</w:t>
            </w:r>
          </w:p>
        </w:tc>
        <w:tc>
          <w:tcPr>
            <w:tcW w:type="dxa" w:w="2160"/>
          </w:tcPr>
          <w:p>
            <w:r>
              <w:t>6,67</w:t>
            </w:r>
          </w:p>
        </w:tc>
        <w:tc>
          <w:tcPr>
            <w:tcW w:type="dxa" w:w="2160"/>
          </w:tcPr>
          <w:p>
            <w:r>
              <w:t>7,30</w:t>
            </w:r>
          </w:p>
        </w:tc>
        <w:tc>
          <w:tcPr>
            <w:tcW w:type="dxa" w:w="2160"/>
          </w:tcPr>
          <w:p>
            <w:r>
              <w:t>14,46</w:t>
            </w:r>
          </w:p>
        </w:tc>
      </w:tr>
      <w:tr>
        <w:tc>
          <w:tcPr>
            <w:tcW w:type="dxa" w:w="2160"/>
          </w:tcPr>
          <w:p>
            <w:r>
              <w:t>EXTERIOR</w:t>
            </w:r>
          </w:p>
        </w:tc>
        <w:tc>
          <w:tcPr>
            <w:tcW w:type="dxa" w:w="2160"/>
          </w:tcPr>
          <w:p>
            <w:r>
              <w:t>8,76</w:t>
            </w:r>
          </w:p>
        </w:tc>
        <w:tc>
          <w:tcPr>
            <w:tcW w:type="dxa" w:w="2160"/>
          </w:tcPr>
          <w:p>
            <w:r>
              <w:t>9,35</w:t>
            </w:r>
          </w:p>
        </w:tc>
        <w:tc>
          <w:tcPr>
            <w:tcW w:type="dxa" w:w="2160"/>
          </w:tcPr>
          <w:p>
            <w:r>
              <w:t>18,94</w:t>
            </w:r>
          </w:p>
        </w:tc>
      </w:tr>
      <w:tr>
        <w:tc>
          <w:tcPr>
            <w:tcW w:type="dxa" w:w="2160"/>
          </w:tcPr>
          <w:p>
            <w:r>
              <w:t>PLANO</w:t>
            </w:r>
          </w:p>
        </w:tc>
        <w:tc>
          <w:tcPr>
            <w:tcW w:type="dxa" w:w="2160"/>
          </w:tcPr>
          <w:p>
            <w:r>
              <w:t>6,43</w:t>
            </w:r>
          </w:p>
        </w:tc>
        <w:tc>
          <w:tcPr>
            <w:tcW w:type="dxa" w:w="2160"/>
          </w:tcPr>
          <w:p>
            <w:r>
              <w:t>4,99</w:t>
            </w:r>
          </w:p>
        </w:tc>
        <w:tc>
          <w:tcPr>
            <w:tcW w:type="dxa" w:w="2160"/>
          </w:tcPr>
          <w:p>
            <w:r>
              <w:t>11,74</w:t>
            </w:r>
          </w:p>
        </w:tc>
      </w:tr>
      <w:tr>
        <w:tc>
          <w:tcPr>
            <w:tcW w:type="dxa" w:w="2160"/>
          </w:tcPr>
          <w:p>
            <w:r>
              <w:t>ÍNDICE DE REFERÊNCIA</w:t>
            </w:r>
          </w:p>
        </w:tc>
        <w:tc>
          <w:tcPr>
            <w:tcW w:type="dxa" w:w="2160"/>
          </w:tcPr>
          <w:p>
            <w:r>
              <w:t>5,03</w:t>
            </w:r>
          </w:p>
        </w:tc>
        <w:tc>
          <w:tcPr>
            <w:tcW w:type="dxa" w:w="2160"/>
          </w:tcPr>
          <w:p>
            <w:r>
              <w:t>3,24</w:t>
            </w:r>
          </w:p>
        </w:tc>
        <w:tc>
          <w:tcPr>
            <w:tcW w:type="dxa" w:w="2160"/>
          </w:tcPr>
          <w:p>
            <w:r>
              <w:t>8,43</w:t>
            </w:r>
          </w:p>
        </w:tc>
      </w:tr>
    </w:tbl>
    <w:p>
      <w:pPr>
        <w:spacing w:before="180" w:after="120"/>
      </w:pPr>
      <w:r>
        <w:rPr>
          <w:b/>
        </w:rPr>
        <w:t xml:space="preserve">CLIQUE AQUI </w:t>
      </w:r>
      <w:r>
        <w:t>para acessar o Demonstrativo Analítico dos Investimentos do Plano CD-METRÔ-DF -- Dezembro/2025</w:t>
      </w:r>
    </w:p>
    <w:p>
      <w:pPr>
        <w:spacing w:before="180" w:after="60"/>
      </w:pPr>
      <w:r>
        <w:rPr>
          <w:b/>
          <w:sz w:val="22"/>
        </w:rPr>
        <w:t>10.4 Quadro Populacional</w:t>
      </w:r>
    </w:p>
    <w:p>
      <w:pPr>
        <w:spacing w:after="20"/>
      </w:pPr>
      <w:r>
        <w:t>Total de participantes: 932</w:t>
      </w:r>
    </w:p>
    <w:p>
      <w:pPr>
        <w:spacing w:after="20"/>
      </w:pPr>
      <w:r>
        <w:t>Ativos: 99,9%</w:t>
      </w:r>
    </w:p>
    <w:p>
      <w:pPr>
        <w:spacing w:after="20"/>
      </w:pPr>
      <w:r>
        <w:t>Assistidos: 0,1%</w:t>
      </w:r>
    </w:p>
    <w:p>
      <w:pPr>
        <w:spacing w:after="20"/>
      </w:pPr>
      <w:r>
        <w:t>Pensionistas: 0,0%</w:t>
      </w:r>
    </w:p>
    <w:p>
      <w:pPr>
        <w:spacing w:after="20"/>
      </w:pPr>
      <w:r>
        <w:t>Feminino: 24,57%</w:t>
      </w:r>
    </w:p>
    <w:p>
      <w:pPr>
        <w:spacing w:after="20"/>
      </w:pPr>
      <w:r>
        <w:t>Masculino: 75,43%</w:t>
      </w:r>
    </w:p>
    <w:p>
      <w:pPr>
        <w:spacing w:after="20"/>
      </w:pPr>
      <w:r>
        <w:t>Média de Idade de Ativos: 47,58</w:t>
      </w:r>
    </w:p>
    <w:p>
      <w:pPr>
        <w:spacing w:after="20"/>
      </w:pPr>
      <w:r>
        <w:t>Média de Idade de Assistidos: 67,03</w:t>
      </w:r>
    </w:p>
    <w:p>
      <w:pPr>
        <w:spacing w:after="20"/>
      </w:pPr>
      <w:r>
        <w:t>Maturidade do Plano: 0,12%</w:t>
      </w:r>
    </w:p>
    <w:p/>
    <w:p>
      <w:pPr>
        <w:spacing w:after="20"/>
      </w:pPr>
      <w:r>
        <w:t>2024: 896</w:t>
      </w:r>
    </w:p>
    <w:p>
      <w:pPr>
        <w:spacing w:after="20"/>
      </w:pPr>
      <w:r>
        <w:t>2025: 932</w:t>
      </w:r>
    </w:p>
    <w:p>
      <w:pPr>
        <w:spacing w:after="20"/>
      </w:pPr>
      <w:r>
        <w:t>Aumento de 4,02%</w:t>
      </w:r>
    </w:p>
    <w:p/>
    <w:p>
      <w:pPr>
        <w:spacing w:after="20"/>
      </w:pPr>
      <w:r>
        <w:t>Todos os empregados da Companhia do Metropolitano do Distrito Federal -- Metrô-DF podem aderir ao Plano, inclusive gerentes, diretores, conselheiros, ocupantes de cargo eletivo, e outros dirigentes da Patrocinadora.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